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0D7" w:rsidRPr="003C6C5E" w:rsidRDefault="009810D7" w:rsidP="009810D7">
      <w:pPr>
        <w:tabs>
          <w:tab w:val="left" w:pos="4860"/>
        </w:tabs>
        <w:rPr>
          <w:rFonts w:asciiTheme="minorHAnsi" w:hAnsiTheme="minorHAnsi" w:cstheme="minorHAnsi"/>
          <w:color w:val="FF0000"/>
          <w:sz w:val="28"/>
          <w:szCs w:val="28"/>
        </w:rPr>
      </w:pPr>
      <w:r w:rsidRPr="00D121D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              </w:t>
      </w:r>
      <w:r w:rsidR="004E3136" w:rsidRPr="00D121D9">
        <w:rPr>
          <w:rFonts w:asciiTheme="minorHAnsi" w:hAnsiTheme="minorHAnsi" w:cstheme="minorHAnsi"/>
          <w:b/>
          <w:color w:val="FF0000"/>
          <w:sz w:val="22"/>
          <w:szCs w:val="22"/>
        </w:rPr>
        <w:tab/>
      </w:r>
      <w:r w:rsidR="004E3136" w:rsidRPr="00D121D9">
        <w:rPr>
          <w:rFonts w:asciiTheme="minorHAnsi" w:hAnsiTheme="minorHAnsi" w:cstheme="minorHAnsi"/>
          <w:b/>
          <w:color w:val="FF0000"/>
          <w:sz w:val="22"/>
          <w:szCs w:val="22"/>
        </w:rPr>
        <w:tab/>
      </w:r>
      <w:r w:rsidR="004E3136" w:rsidRPr="00D121D9">
        <w:rPr>
          <w:rFonts w:asciiTheme="minorHAnsi" w:hAnsiTheme="minorHAnsi" w:cstheme="minorHAnsi"/>
          <w:b/>
          <w:color w:val="FF0000"/>
          <w:sz w:val="22"/>
          <w:szCs w:val="22"/>
        </w:rPr>
        <w:tab/>
      </w:r>
      <w:r w:rsidR="004E3136" w:rsidRPr="00D121D9">
        <w:rPr>
          <w:rFonts w:asciiTheme="minorHAnsi" w:hAnsiTheme="minorHAnsi" w:cstheme="minorHAnsi"/>
          <w:b/>
          <w:color w:val="FF0000"/>
          <w:sz w:val="22"/>
          <w:szCs w:val="22"/>
        </w:rPr>
        <w:tab/>
      </w:r>
      <w:r w:rsidR="003C6C5E" w:rsidRPr="003C6C5E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K</w:t>
      </w:r>
      <w:r w:rsidRPr="003C6C5E">
        <w:rPr>
          <w:rFonts w:asciiTheme="minorHAnsi" w:hAnsiTheme="minorHAnsi" w:cstheme="minorHAnsi"/>
          <w:b/>
          <w:color w:val="000000" w:themeColor="text1"/>
          <w:sz w:val="28"/>
          <w:szCs w:val="28"/>
        </w:rPr>
        <w:t xml:space="preserve"> </w:t>
      </w:r>
      <w:r w:rsidR="004E3136" w:rsidRPr="003C6C5E">
        <w:rPr>
          <w:rFonts w:asciiTheme="minorHAnsi" w:hAnsiTheme="minorHAnsi" w:cstheme="minorHAnsi"/>
          <w:b/>
          <w:color w:val="000000" w:themeColor="text1"/>
          <w:sz w:val="28"/>
          <w:szCs w:val="28"/>
        </w:rPr>
        <w:t>b</w:t>
      </w:r>
      <w:r w:rsidRPr="003C6C5E">
        <w:rPr>
          <w:rFonts w:asciiTheme="minorHAnsi" w:hAnsiTheme="minorHAnsi" w:cstheme="minorHAnsi"/>
          <w:b/>
          <w:bCs w:val="0"/>
          <w:color w:val="000000" w:themeColor="text1"/>
          <w:sz w:val="28"/>
          <w:szCs w:val="28"/>
        </w:rPr>
        <w:t>od</w:t>
      </w:r>
      <w:r w:rsidR="004E3136" w:rsidRPr="003C6C5E">
        <w:rPr>
          <w:rFonts w:asciiTheme="minorHAnsi" w:hAnsiTheme="minorHAnsi" w:cstheme="minorHAnsi"/>
          <w:b/>
          <w:bCs w:val="0"/>
          <w:color w:val="000000" w:themeColor="text1"/>
          <w:sz w:val="28"/>
          <w:szCs w:val="28"/>
        </w:rPr>
        <w:t>u</w:t>
      </w:r>
      <w:r w:rsidRPr="003C6C5E">
        <w:rPr>
          <w:rFonts w:asciiTheme="minorHAnsi" w:hAnsiTheme="minorHAnsi" w:cstheme="minorHAnsi"/>
          <w:b/>
          <w:bCs w:val="0"/>
          <w:color w:val="000000" w:themeColor="text1"/>
          <w:sz w:val="28"/>
          <w:szCs w:val="28"/>
        </w:rPr>
        <w:t xml:space="preserve"> č. </w:t>
      </w:r>
    </w:p>
    <w:p w:rsidR="009810D7" w:rsidRPr="00D121D9" w:rsidRDefault="009810D7" w:rsidP="009810D7">
      <w:pPr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9810D7" w:rsidRPr="00D121D9" w:rsidRDefault="009810D7" w:rsidP="009810D7">
      <w:pPr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9810D7" w:rsidRPr="00D121D9" w:rsidRDefault="009810D7" w:rsidP="009810D7">
      <w:pPr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9810D7" w:rsidRPr="00D121D9" w:rsidRDefault="009810D7" w:rsidP="009810D7">
      <w:pPr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9810D7" w:rsidRPr="00D121D9" w:rsidRDefault="009810D7" w:rsidP="009810D7">
      <w:pPr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9810D7" w:rsidRPr="00D121D9" w:rsidRDefault="009810D7" w:rsidP="009810D7">
      <w:pPr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9810D7" w:rsidRPr="00D121D9" w:rsidRDefault="009810D7" w:rsidP="009810D7">
      <w:pPr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9810D7" w:rsidRPr="00D121D9" w:rsidRDefault="009810D7" w:rsidP="009810D7">
      <w:pPr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9810D7" w:rsidRPr="00D121D9" w:rsidRDefault="009810D7" w:rsidP="009810D7">
      <w:pPr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9810D7" w:rsidRPr="00D121D9" w:rsidRDefault="009810D7" w:rsidP="009810D7">
      <w:pPr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9810D7" w:rsidRPr="00D121D9" w:rsidRDefault="009810D7" w:rsidP="009810D7">
      <w:pPr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E46297" w:rsidRPr="00D121D9" w:rsidRDefault="00E46297" w:rsidP="009810D7">
      <w:pPr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E46297" w:rsidRPr="00D121D9" w:rsidRDefault="00E46297" w:rsidP="009810D7">
      <w:pPr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E46297" w:rsidRPr="00D121D9" w:rsidRDefault="00E46297" w:rsidP="009810D7">
      <w:pPr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9810D7" w:rsidRPr="00D121D9" w:rsidRDefault="009810D7" w:rsidP="009810D7">
      <w:pPr>
        <w:rPr>
          <w:rFonts w:asciiTheme="minorHAnsi" w:hAnsiTheme="minorHAnsi" w:cstheme="minorHAnsi"/>
          <w:b/>
          <w:bCs w:val="0"/>
          <w:color w:val="FF0000"/>
          <w:sz w:val="22"/>
          <w:szCs w:val="22"/>
          <w:highlight w:val="yellow"/>
        </w:rPr>
      </w:pPr>
      <w:r w:rsidRPr="00D121D9">
        <w:rPr>
          <w:rFonts w:asciiTheme="minorHAnsi" w:hAnsiTheme="minorHAnsi" w:cstheme="minorHAnsi"/>
          <w:b/>
          <w:bCs w:val="0"/>
          <w:color w:val="FF0000"/>
          <w:sz w:val="22"/>
          <w:szCs w:val="22"/>
          <w:highlight w:val="yellow"/>
        </w:rPr>
        <w:t xml:space="preserve">  </w:t>
      </w:r>
    </w:p>
    <w:p w:rsidR="009810D7" w:rsidRPr="00D121D9" w:rsidRDefault="009810D7" w:rsidP="009810D7">
      <w:pPr>
        <w:jc w:val="center"/>
        <w:rPr>
          <w:rFonts w:asciiTheme="minorHAnsi" w:hAnsiTheme="minorHAnsi" w:cstheme="minorHAnsi"/>
          <w:b/>
          <w:bCs w:val="0"/>
          <w:color w:val="FF0000"/>
          <w:sz w:val="22"/>
          <w:szCs w:val="22"/>
          <w:highlight w:val="yellow"/>
        </w:rPr>
      </w:pPr>
    </w:p>
    <w:p w:rsidR="009810D7" w:rsidRDefault="009810D7" w:rsidP="009810D7">
      <w:pPr>
        <w:rPr>
          <w:rFonts w:asciiTheme="minorHAnsi" w:hAnsiTheme="minorHAnsi" w:cstheme="minorHAnsi"/>
          <w:b/>
          <w:bCs w:val="0"/>
          <w:color w:val="FF0000"/>
          <w:sz w:val="22"/>
          <w:szCs w:val="22"/>
          <w:highlight w:val="yellow"/>
        </w:rPr>
      </w:pPr>
    </w:p>
    <w:p w:rsidR="0096242F" w:rsidRDefault="0096242F" w:rsidP="009810D7">
      <w:pPr>
        <w:rPr>
          <w:rFonts w:asciiTheme="minorHAnsi" w:hAnsiTheme="minorHAnsi" w:cstheme="minorHAnsi"/>
          <w:b/>
          <w:bCs w:val="0"/>
          <w:color w:val="FF0000"/>
          <w:sz w:val="22"/>
          <w:szCs w:val="22"/>
          <w:highlight w:val="yellow"/>
        </w:rPr>
      </w:pPr>
    </w:p>
    <w:p w:rsidR="0096242F" w:rsidRDefault="0096242F" w:rsidP="009810D7">
      <w:pPr>
        <w:rPr>
          <w:rFonts w:asciiTheme="minorHAnsi" w:hAnsiTheme="minorHAnsi" w:cstheme="minorHAnsi"/>
          <w:b/>
          <w:bCs w:val="0"/>
          <w:color w:val="FF0000"/>
          <w:sz w:val="22"/>
          <w:szCs w:val="22"/>
          <w:highlight w:val="yellow"/>
        </w:rPr>
      </w:pPr>
    </w:p>
    <w:p w:rsidR="0096242F" w:rsidRPr="00D121D9" w:rsidRDefault="0096242F" w:rsidP="009810D7">
      <w:pPr>
        <w:rPr>
          <w:rFonts w:asciiTheme="minorHAnsi" w:hAnsiTheme="minorHAnsi" w:cstheme="minorHAnsi"/>
          <w:b/>
          <w:bCs w:val="0"/>
          <w:color w:val="FF0000"/>
          <w:sz w:val="22"/>
          <w:szCs w:val="22"/>
          <w:highlight w:val="yellow"/>
        </w:rPr>
      </w:pPr>
    </w:p>
    <w:p w:rsidR="009810D7" w:rsidRPr="00D121D9" w:rsidRDefault="009810D7" w:rsidP="009810D7">
      <w:pPr>
        <w:jc w:val="center"/>
        <w:rPr>
          <w:rFonts w:asciiTheme="minorHAnsi" w:hAnsiTheme="minorHAnsi" w:cstheme="minorHAnsi"/>
          <w:b/>
          <w:bCs w:val="0"/>
          <w:color w:val="FF0000"/>
          <w:sz w:val="22"/>
          <w:szCs w:val="22"/>
          <w:highlight w:val="yellow"/>
        </w:rPr>
      </w:pPr>
    </w:p>
    <w:p w:rsidR="009810D7" w:rsidRPr="00D121D9" w:rsidRDefault="009810D7" w:rsidP="009810D7">
      <w:pPr>
        <w:jc w:val="center"/>
        <w:rPr>
          <w:rFonts w:asciiTheme="minorHAnsi" w:hAnsiTheme="minorHAnsi" w:cstheme="minorHAnsi"/>
          <w:b/>
          <w:bCs w:val="0"/>
          <w:color w:val="FF0000"/>
          <w:sz w:val="22"/>
          <w:szCs w:val="22"/>
          <w:highlight w:val="yellow"/>
        </w:rPr>
      </w:pPr>
    </w:p>
    <w:p w:rsidR="009810D7" w:rsidRPr="00B00FA7" w:rsidRDefault="009810D7" w:rsidP="009810D7">
      <w:pPr>
        <w:jc w:val="center"/>
        <w:rPr>
          <w:rFonts w:asciiTheme="minorHAnsi" w:hAnsiTheme="minorHAnsi" w:cstheme="minorHAnsi"/>
          <w:b/>
          <w:bCs w:val="0"/>
          <w:sz w:val="28"/>
          <w:szCs w:val="28"/>
        </w:rPr>
      </w:pPr>
      <w:r w:rsidRPr="00B00FA7">
        <w:rPr>
          <w:rFonts w:asciiTheme="minorHAnsi" w:hAnsiTheme="minorHAnsi" w:cstheme="minorHAnsi"/>
          <w:b/>
          <w:bCs w:val="0"/>
          <w:sz w:val="28"/>
          <w:szCs w:val="28"/>
        </w:rPr>
        <w:t xml:space="preserve">Stanovisko </w:t>
      </w:r>
    </w:p>
    <w:p w:rsidR="009810D7" w:rsidRPr="00B00FA7" w:rsidRDefault="009810D7" w:rsidP="009810D7">
      <w:pPr>
        <w:jc w:val="center"/>
        <w:rPr>
          <w:rFonts w:asciiTheme="minorHAnsi" w:hAnsiTheme="minorHAnsi" w:cstheme="minorHAnsi"/>
          <w:b/>
          <w:bCs w:val="0"/>
          <w:sz w:val="28"/>
          <w:szCs w:val="28"/>
        </w:rPr>
      </w:pPr>
    </w:p>
    <w:p w:rsidR="009810D7" w:rsidRPr="00B00FA7" w:rsidRDefault="009810D7" w:rsidP="009810D7">
      <w:pPr>
        <w:jc w:val="center"/>
        <w:rPr>
          <w:rFonts w:asciiTheme="minorHAnsi" w:hAnsiTheme="minorHAnsi" w:cstheme="minorHAnsi"/>
          <w:b/>
          <w:bCs w:val="0"/>
          <w:sz w:val="28"/>
          <w:szCs w:val="28"/>
        </w:rPr>
      </w:pPr>
      <w:r w:rsidRPr="00B00FA7">
        <w:rPr>
          <w:rFonts w:asciiTheme="minorHAnsi" w:hAnsiTheme="minorHAnsi" w:cstheme="minorHAnsi"/>
          <w:b/>
          <w:bCs w:val="0"/>
          <w:sz w:val="28"/>
          <w:szCs w:val="28"/>
        </w:rPr>
        <w:t xml:space="preserve">hlavného kontrolóra </w:t>
      </w:r>
    </w:p>
    <w:p w:rsidR="009810D7" w:rsidRPr="00B00FA7" w:rsidRDefault="009810D7" w:rsidP="009810D7">
      <w:pPr>
        <w:jc w:val="center"/>
        <w:rPr>
          <w:rFonts w:asciiTheme="minorHAnsi" w:hAnsiTheme="minorHAnsi" w:cstheme="minorHAnsi"/>
          <w:b/>
          <w:bCs w:val="0"/>
          <w:sz w:val="28"/>
          <w:szCs w:val="28"/>
        </w:rPr>
      </w:pPr>
      <w:r w:rsidRPr="00B00FA7">
        <w:rPr>
          <w:rFonts w:asciiTheme="minorHAnsi" w:hAnsiTheme="minorHAnsi" w:cstheme="minorHAnsi"/>
          <w:b/>
          <w:bCs w:val="0"/>
          <w:sz w:val="28"/>
          <w:szCs w:val="28"/>
        </w:rPr>
        <w:t xml:space="preserve">Bratislavského samosprávneho kraja </w:t>
      </w:r>
    </w:p>
    <w:p w:rsidR="009810D7" w:rsidRPr="00B00FA7" w:rsidRDefault="009810D7" w:rsidP="009810D7">
      <w:pPr>
        <w:jc w:val="center"/>
        <w:rPr>
          <w:rFonts w:asciiTheme="minorHAnsi" w:hAnsiTheme="minorHAnsi" w:cstheme="minorHAnsi"/>
          <w:b/>
          <w:bCs w:val="0"/>
          <w:sz w:val="28"/>
          <w:szCs w:val="28"/>
        </w:rPr>
      </w:pPr>
      <w:r w:rsidRPr="00B00FA7">
        <w:rPr>
          <w:rFonts w:asciiTheme="minorHAnsi" w:hAnsiTheme="minorHAnsi" w:cstheme="minorHAnsi"/>
          <w:b/>
          <w:bCs w:val="0"/>
          <w:sz w:val="28"/>
          <w:szCs w:val="28"/>
        </w:rPr>
        <w:t>k</w:t>
      </w:r>
      <w:r w:rsidR="00E46297" w:rsidRPr="00B00FA7">
        <w:rPr>
          <w:rFonts w:asciiTheme="minorHAnsi" w:hAnsiTheme="minorHAnsi" w:cstheme="minorHAnsi"/>
          <w:b/>
          <w:bCs w:val="0"/>
          <w:sz w:val="28"/>
          <w:szCs w:val="28"/>
        </w:rPr>
        <w:t xml:space="preserve"> návrhu </w:t>
      </w:r>
      <w:r w:rsidR="00E6076C" w:rsidRPr="00B00FA7">
        <w:rPr>
          <w:rFonts w:asciiTheme="minorHAnsi" w:hAnsiTheme="minorHAnsi" w:cstheme="minorHAnsi"/>
          <w:b/>
          <w:bCs w:val="0"/>
          <w:sz w:val="28"/>
          <w:szCs w:val="28"/>
        </w:rPr>
        <w:t>Z</w:t>
      </w:r>
      <w:r w:rsidRPr="00B00FA7">
        <w:rPr>
          <w:rFonts w:asciiTheme="minorHAnsi" w:hAnsiTheme="minorHAnsi" w:cstheme="minorHAnsi"/>
          <w:b/>
          <w:bCs w:val="0"/>
          <w:sz w:val="28"/>
          <w:szCs w:val="28"/>
        </w:rPr>
        <w:t>áverečné</w:t>
      </w:r>
      <w:r w:rsidR="000B284B">
        <w:rPr>
          <w:rFonts w:asciiTheme="minorHAnsi" w:hAnsiTheme="minorHAnsi" w:cstheme="minorHAnsi"/>
          <w:b/>
          <w:bCs w:val="0"/>
          <w:sz w:val="28"/>
          <w:szCs w:val="28"/>
        </w:rPr>
        <w:t>ho</w:t>
      </w:r>
      <w:r w:rsidRPr="00B00FA7">
        <w:rPr>
          <w:rFonts w:asciiTheme="minorHAnsi" w:hAnsiTheme="minorHAnsi" w:cstheme="minorHAnsi"/>
          <w:b/>
          <w:bCs w:val="0"/>
          <w:sz w:val="28"/>
          <w:szCs w:val="28"/>
        </w:rPr>
        <w:t xml:space="preserve"> účtu Bratislavského samosprávneho kraja  </w:t>
      </w:r>
    </w:p>
    <w:p w:rsidR="009810D7" w:rsidRPr="00B00FA7" w:rsidRDefault="009810D7" w:rsidP="009810D7">
      <w:pPr>
        <w:jc w:val="center"/>
        <w:rPr>
          <w:rFonts w:asciiTheme="minorHAnsi" w:hAnsiTheme="minorHAnsi" w:cstheme="minorHAnsi"/>
          <w:b/>
          <w:bCs w:val="0"/>
          <w:sz w:val="28"/>
          <w:szCs w:val="28"/>
        </w:rPr>
      </w:pPr>
      <w:r w:rsidRPr="00B00FA7">
        <w:rPr>
          <w:rFonts w:asciiTheme="minorHAnsi" w:hAnsiTheme="minorHAnsi" w:cstheme="minorHAnsi"/>
          <w:b/>
          <w:bCs w:val="0"/>
          <w:sz w:val="28"/>
          <w:szCs w:val="28"/>
        </w:rPr>
        <w:t>za rok 20</w:t>
      </w:r>
      <w:r w:rsidR="00CB141D" w:rsidRPr="00B00FA7">
        <w:rPr>
          <w:rFonts w:asciiTheme="minorHAnsi" w:hAnsiTheme="minorHAnsi" w:cstheme="minorHAnsi"/>
          <w:b/>
          <w:bCs w:val="0"/>
          <w:sz w:val="28"/>
          <w:szCs w:val="28"/>
        </w:rPr>
        <w:t>20</w:t>
      </w:r>
    </w:p>
    <w:p w:rsidR="009810D7" w:rsidRPr="00D121D9" w:rsidRDefault="009810D7" w:rsidP="009810D7">
      <w:pPr>
        <w:jc w:val="center"/>
        <w:rPr>
          <w:rFonts w:asciiTheme="minorHAnsi" w:hAnsiTheme="minorHAnsi" w:cstheme="minorHAnsi"/>
          <w:b/>
          <w:bCs w:val="0"/>
          <w:color w:val="FF0000"/>
          <w:sz w:val="28"/>
          <w:szCs w:val="28"/>
        </w:rPr>
      </w:pPr>
    </w:p>
    <w:p w:rsidR="009810D7" w:rsidRPr="00D121D9" w:rsidRDefault="009810D7" w:rsidP="009810D7">
      <w:pPr>
        <w:jc w:val="center"/>
        <w:rPr>
          <w:rFonts w:asciiTheme="minorHAnsi" w:hAnsiTheme="minorHAnsi" w:cstheme="minorHAnsi"/>
          <w:b/>
          <w:bCs w:val="0"/>
          <w:color w:val="FF0000"/>
          <w:sz w:val="28"/>
          <w:szCs w:val="28"/>
        </w:rPr>
      </w:pPr>
    </w:p>
    <w:p w:rsidR="009810D7" w:rsidRPr="00D121D9" w:rsidRDefault="009810D7" w:rsidP="009810D7">
      <w:pPr>
        <w:jc w:val="center"/>
        <w:rPr>
          <w:rFonts w:asciiTheme="minorHAnsi" w:hAnsiTheme="minorHAnsi" w:cstheme="minorHAnsi"/>
          <w:b/>
          <w:bCs w:val="0"/>
          <w:color w:val="FF0000"/>
          <w:sz w:val="28"/>
          <w:szCs w:val="28"/>
          <w:highlight w:val="yellow"/>
        </w:rPr>
      </w:pPr>
    </w:p>
    <w:p w:rsidR="009810D7" w:rsidRPr="00D121D9" w:rsidRDefault="009810D7" w:rsidP="009810D7">
      <w:pPr>
        <w:jc w:val="center"/>
        <w:rPr>
          <w:rFonts w:asciiTheme="minorHAnsi" w:hAnsiTheme="minorHAnsi" w:cstheme="minorHAnsi"/>
          <w:b/>
          <w:bCs w:val="0"/>
          <w:color w:val="FF0000"/>
          <w:sz w:val="28"/>
          <w:szCs w:val="28"/>
          <w:highlight w:val="yellow"/>
        </w:rPr>
      </w:pPr>
    </w:p>
    <w:p w:rsidR="009810D7" w:rsidRPr="00D121D9" w:rsidRDefault="009810D7" w:rsidP="009810D7">
      <w:pPr>
        <w:jc w:val="center"/>
        <w:rPr>
          <w:rFonts w:asciiTheme="minorHAnsi" w:hAnsiTheme="minorHAnsi" w:cstheme="minorHAnsi"/>
          <w:b/>
          <w:bCs w:val="0"/>
          <w:color w:val="FF0000"/>
          <w:sz w:val="28"/>
          <w:szCs w:val="28"/>
          <w:highlight w:val="yellow"/>
        </w:rPr>
      </w:pPr>
    </w:p>
    <w:p w:rsidR="009810D7" w:rsidRPr="00D121D9" w:rsidRDefault="009810D7" w:rsidP="009810D7">
      <w:pPr>
        <w:jc w:val="center"/>
        <w:rPr>
          <w:rFonts w:asciiTheme="minorHAnsi" w:hAnsiTheme="minorHAnsi" w:cstheme="minorHAnsi"/>
          <w:b/>
          <w:bCs w:val="0"/>
          <w:color w:val="FF0000"/>
          <w:sz w:val="28"/>
          <w:szCs w:val="28"/>
          <w:highlight w:val="yellow"/>
        </w:rPr>
      </w:pPr>
    </w:p>
    <w:p w:rsidR="009810D7" w:rsidRPr="00D121D9" w:rsidRDefault="009810D7" w:rsidP="009810D7">
      <w:pPr>
        <w:jc w:val="center"/>
        <w:rPr>
          <w:rFonts w:asciiTheme="minorHAnsi" w:hAnsiTheme="minorHAnsi" w:cstheme="minorHAnsi"/>
          <w:b/>
          <w:bCs w:val="0"/>
          <w:color w:val="FF0000"/>
          <w:sz w:val="28"/>
          <w:szCs w:val="28"/>
          <w:highlight w:val="yellow"/>
        </w:rPr>
      </w:pPr>
    </w:p>
    <w:p w:rsidR="009810D7" w:rsidRPr="00D121D9" w:rsidRDefault="009810D7" w:rsidP="009810D7">
      <w:pPr>
        <w:jc w:val="center"/>
        <w:rPr>
          <w:rFonts w:asciiTheme="minorHAnsi" w:hAnsiTheme="minorHAnsi" w:cstheme="minorHAnsi"/>
          <w:b/>
          <w:bCs w:val="0"/>
          <w:color w:val="FF0000"/>
          <w:sz w:val="28"/>
          <w:szCs w:val="28"/>
          <w:highlight w:val="yellow"/>
        </w:rPr>
      </w:pPr>
    </w:p>
    <w:p w:rsidR="009810D7" w:rsidRPr="00D121D9" w:rsidRDefault="009810D7" w:rsidP="009810D7">
      <w:pPr>
        <w:jc w:val="center"/>
        <w:rPr>
          <w:rFonts w:asciiTheme="minorHAnsi" w:hAnsiTheme="minorHAnsi" w:cstheme="minorHAnsi"/>
          <w:b/>
          <w:bCs w:val="0"/>
          <w:color w:val="FF0000"/>
          <w:sz w:val="28"/>
          <w:szCs w:val="28"/>
          <w:highlight w:val="yellow"/>
        </w:rPr>
      </w:pPr>
    </w:p>
    <w:p w:rsidR="009810D7" w:rsidRPr="00D121D9" w:rsidRDefault="009810D7" w:rsidP="009810D7">
      <w:pPr>
        <w:jc w:val="center"/>
        <w:rPr>
          <w:rFonts w:asciiTheme="minorHAnsi" w:hAnsiTheme="minorHAnsi" w:cstheme="minorHAnsi"/>
          <w:b/>
          <w:bCs w:val="0"/>
          <w:color w:val="FF0000"/>
          <w:sz w:val="28"/>
          <w:szCs w:val="28"/>
          <w:highlight w:val="yellow"/>
        </w:rPr>
      </w:pPr>
    </w:p>
    <w:p w:rsidR="009810D7" w:rsidRPr="00D121D9" w:rsidRDefault="009810D7" w:rsidP="009810D7">
      <w:pPr>
        <w:jc w:val="center"/>
        <w:rPr>
          <w:rFonts w:asciiTheme="minorHAnsi" w:hAnsiTheme="minorHAnsi" w:cstheme="minorHAnsi"/>
          <w:b/>
          <w:bCs w:val="0"/>
          <w:color w:val="FF0000"/>
          <w:sz w:val="28"/>
          <w:szCs w:val="28"/>
          <w:highlight w:val="yellow"/>
        </w:rPr>
      </w:pPr>
    </w:p>
    <w:p w:rsidR="009810D7" w:rsidRPr="00D121D9" w:rsidRDefault="009810D7" w:rsidP="009810D7">
      <w:pPr>
        <w:rPr>
          <w:rFonts w:asciiTheme="minorHAnsi" w:hAnsiTheme="minorHAnsi" w:cstheme="minorHAnsi"/>
          <w:b/>
          <w:bCs w:val="0"/>
          <w:color w:val="FF0000"/>
          <w:sz w:val="28"/>
          <w:szCs w:val="28"/>
          <w:highlight w:val="yellow"/>
        </w:rPr>
      </w:pPr>
    </w:p>
    <w:p w:rsidR="009810D7" w:rsidRPr="00D121D9" w:rsidRDefault="009810D7" w:rsidP="009810D7">
      <w:pPr>
        <w:jc w:val="center"/>
        <w:rPr>
          <w:rFonts w:asciiTheme="minorHAnsi" w:hAnsiTheme="minorHAnsi" w:cstheme="minorHAnsi"/>
          <w:b/>
          <w:bCs w:val="0"/>
          <w:color w:val="FF0000"/>
          <w:sz w:val="28"/>
          <w:szCs w:val="28"/>
          <w:highlight w:val="yellow"/>
        </w:rPr>
      </w:pPr>
    </w:p>
    <w:p w:rsidR="009810D7" w:rsidRPr="00D121D9" w:rsidRDefault="009810D7" w:rsidP="009810D7">
      <w:pPr>
        <w:jc w:val="center"/>
        <w:rPr>
          <w:rFonts w:asciiTheme="minorHAnsi" w:hAnsiTheme="minorHAnsi" w:cstheme="minorHAnsi"/>
          <w:b/>
          <w:bCs w:val="0"/>
          <w:color w:val="FF0000"/>
          <w:sz w:val="28"/>
          <w:szCs w:val="28"/>
          <w:highlight w:val="yellow"/>
        </w:rPr>
      </w:pPr>
    </w:p>
    <w:p w:rsidR="009810D7" w:rsidRPr="00D121D9" w:rsidRDefault="009810D7" w:rsidP="009810D7">
      <w:pPr>
        <w:jc w:val="center"/>
        <w:rPr>
          <w:rFonts w:asciiTheme="minorHAnsi" w:hAnsiTheme="minorHAnsi" w:cstheme="minorHAnsi"/>
          <w:b/>
          <w:bCs w:val="0"/>
          <w:color w:val="FF0000"/>
          <w:sz w:val="28"/>
          <w:szCs w:val="28"/>
          <w:highlight w:val="yellow"/>
        </w:rPr>
      </w:pPr>
    </w:p>
    <w:p w:rsidR="001E4092" w:rsidRPr="00D121D9" w:rsidRDefault="001E4092" w:rsidP="009810D7">
      <w:pPr>
        <w:jc w:val="center"/>
        <w:rPr>
          <w:rFonts w:asciiTheme="minorHAnsi" w:hAnsiTheme="minorHAnsi" w:cstheme="minorHAnsi"/>
          <w:b/>
          <w:bCs w:val="0"/>
          <w:color w:val="FF0000"/>
          <w:sz w:val="28"/>
          <w:szCs w:val="28"/>
          <w:highlight w:val="yellow"/>
        </w:rPr>
      </w:pPr>
    </w:p>
    <w:p w:rsidR="001E4092" w:rsidRPr="00D121D9" w:rsidRDefault="001E4092" w:rsidP="009810D7">
      <w:pPr>
        <w:jc w:val="center"/>
        <w:rPr>
          <w:rFonts w:asciiTheme="minorHAnsi" w:hAnsiTheme="minorHAnsi" w:cstheme="minorHAnsi"/>
          <w:b/>
          <w:bCs w:val="0"/>
          <w:color w:val="FF0000"/>
          <w:sz w:val="28"/>
          <w:szCs w:val="28"/>
          <w:highlight w:val="yellow"/>
        </w:rPr>
      </w:pPr>
    </w:p>
    <w:p w:rsidR="009810D7" w:rsidRPr="00D121D9" w:rsidRDefault="009810D7" w:rsidP="009810D7">
      <w:pPr>
        <w:jc w:val="center"/>
        <w:rPr>
          <w:rFonts w:asciiTheme="minorHAnsi" w:hAnsiTheme="minorHAnsi" w:cstheme="minorHAnsi"/>
          <w:b/>
          <w:bCs w:val="0"/>
          <w:color w:val="FF0000"/>
          <w:sz w:val="28"/>
          <w:szCs w:val="28"/>
        </w:rPr>
      </w:pPr>
    </w:p>
    <w:p w:rsidR="009810D7" w:rsidRPr="00B00FA7" w:rsidRDefault="009810D7" w:rsidP="009810D7">
      <w:pPr>
        <w:pStyle w:val="Nadpis5"/>
        <w:rPr>
          <w:rFonts w:asciiTheme="minorHAnsi" w:hAnsiTheme="minorHAnsi" w:cstheme="minorHAnsi"/>
        </w:rPr>
      </w:pPr>
      <w:r w:rsidRPr="00B00FA7">
        <w:rPr>
          <w:rFonts w:asciiTheme="minorHAnsi" w:hAnsiTheme="minorHAnsi" w:cstheme="minorHAnsi"/>
        </w:rPr>
        <w:t>Bratislava</w:t>
      </w:r>
    </w:p>
    <w:p w:rsidR="009810D7" w:rsidRPr="00B00FA7" w:rsidRDefault="009204D0" w:rsidP="009810D7">
      <w:pPr>
        <w:jc w:val="center"/>
        <w:rPr>
          <w:rFonts w:asciiTheme="minorHAnsi" w:hAnsiTheme="minorHAnsi" w:cstheme="minorHAnsi"/>
          <w:b/>
          <w:bCs w:val="0"/>
        </w:rPr>
      </w:pPr>
      <w:r w:rsidRPr="00B00FA7">
        <w:rPr>
          <w:rFonts w:asciiTheme="minorHAnsi" w:hAnsiTheme="minorHAnsi" w:cstheme="minorHAnsi"/>
          <w:b/>
          <w:bCs w:val="0"/>
        </w:rPr>
        <w:t>máj</w:t>
      </w:r>
      <w:r w:rsidR="009810D7" w:rsidRPr="00B00FA7">
        <w:rPr>
          <w:rFonts w:asciiTheme="minorHAnsi" w:hAnsiTheme="minorHAnsi" w:cstheme="minorHAnsi"/>
          <w:b/>
          <w:bCs w:val="0"/>
        </w:rPr>
        <w:t xml:space="preserve"> 20</w:t>
      </w:r>
      <w:r w:rsidR="00CB141D" w:rsidRPr="00B00FA7">
        <w:rPr>
          <w:rFonts w:asciiTheme="minorHAnsi" w:hAnsiTheme="minorHAnsi" w:cstheme="minorHAnsi"/>
          <w:b/>
          <w:bCs w:val="0"/>
        </w:rPr>
        <w:t>21</w:t>
      </w:r>
    </w:p>
    <w:p w:rsidR="009810D7" w:rsidRPr="007114EE" w:rsidRDefault="009810D7" w:rsidP="009810D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114EE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Stanovisko hlavného kontrolóra k</w:t>
      </w:r>
      <w:r w:rsidR="00E46297" w:rsidRPr="007114EE">
        <w:rPr>
          <w:rFonts w:asciiTheme="minorHAnsi" w:hAnsiTheme="minorHAnsi" w:cstheme="minorHAnsi"/>
          <w:b/>
          <w:sz w:val="22"/>
          <w:szCs w:val="22"/>
          <w:u w:val="single"/>
        </w:rPr>
        <w:t xml:space="preserve"> návrhu </w:t>
      </w:r>
      <w:r w:rsidR="00E6076C" w:rsidRPr="007114EE">
        <w:rPr>
          <w:rFonts w:asciiTheme="minorHAnsi" w:hAnsiTheme="minorHAnsi" w:cstheme="minorHAnsi"/>
          <w:b/>
          <w:sz w:val="22"/>
          <w:szCs w:val="22"/>
          <w:u w:val="single"/>
        </w:rPr>
        <w:t>Z</w:t>
      </w:r>
      <w:r w:rsidR="00CB141D" w:rsidRPr="007114EE">
        <w:rPr>
          <w:rFonts w:asciiTheme="minorHAnsi" w:hAnsiTheme="minorHAnsi" w:cstheme="minorHAnsi"/>
          <w:b/>
          <w:sz w:val="22"/>
          <w:szCs w:val="22"/>
          <w:u w:val="single"/>
        </w:rPr>
        <w:t>áverečné</w:t>
      </w:r>
      <w:r w:rsidR="000B284B">
        <w:rPr>
          <w:rFonts w:asciiTheme="minorHAnsi" w:hAnsiTheme="minorHAnsi" w:cstheme="minorHAnsi"/>
          <w:b/>
          <w:sz w:val="22"/>
          <w:szCs w:val="22"/>
          <w:u w:val="single"/>
        </w:rPr>
        <w:t>ho</w:t>
      </w:r>
      <w:r w:rsidR="00CB141D" w:rsidRPr="007114EE">
        <w:rPr>
          <w:rFonts w:asciiTheme="minorHAnsi" w:hAnsiTheme="minorHAnsi" w:cstheme="minorHAnsi"/>
          <w:b/>
          <w:sz w:val="22"/>
          <w:szCs w:val="22"/>
          <w:u w:val="single"/>
        </w:rPr>
        <w:t xml:space="preserve"> účtu za rok 2020</w:t>
      </w:r>
      <w:r w:rsidRPr="007114EE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:rsidR="009810D7" w:rsidRPr="007114EE" w:rsidRDefault="009810D7" w:rsidP="009810D7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9810D7" w:rsidRPr="007114EE" w:rsidRDefault="00754BC5" w:rsidP="009810D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114EE">
        <w:rPr>
          <w:rFonts w:asciiTheme="minorHAnsi" w:hAnsiTheme="minorHAnsi" w:cstheme="minorHAnsi"/>
          <w:sz w:val="22"/>
          <w:szCs w:val="22"/>
        </w:rPr>
        <w:t>Základom finančného hospodárenia</w:t>
      </w:r>
      <w:r w:rsidR="005838B6" w:rsidRPr="007114EE">
        <w:rPr>
          <w:rFonts w:asciiTheme="minorHAnsi" w:hAnsiTheme="minorHAnsi" w:cstheme="minorHAnsi"/>
          <w:sz w:val="22"/>
          <w:szCs w:val="22"/>
        </w:rPr>
        <w:t xml:space="preserve"> je rozpočet, ktorý samosprávny kraj (VÚC</w:t>
      </w:r>
      <w:r w:rsidR="005838B6" w:rsidRPr="007114EE">
        <w:rPr>
          <w:rFonts w:asciiTheme="minorHAnsi" w:hAnsiTheme="minorHAnsi" w:cstheme="minorHAnsi"/>
          <w:bCs w:val="0"/>
          <w:sz w:val="22"/>
          <w:szCs w:val="22"/>
        </w:rPr>
        <w:t>) zostavuje na obdobie jedného kalendárneho roka.</w:t>
      </w:r>
      <w:r w:rsidR="009204D0" w:rsidRPr="007114EE">
        <w:rPr>
          <w:rFonts w:asciiTheme="minorHAnsi" w:hAnsiTheme="minorHAnsi" w:cstheme="minorHAnsi"/>
          <w:bCs w:val="0"/>
          <w:sz w:val="22"/>
          <w:szCs w:val="22"/>
        </w:rPr>
        <w:t xml:space="preserve"> </w:t>
      </w:r>
      <w:r w:rsidR="009810D7" w:rsidRPr="007114EE">
        <w:rPr>
          <w:rFonts w:asciiTheme="minorHAnsi" w:hAnsiTheme="minorHAnsi" w:cstheme="minorHAnsi"/>
          <w:sz w:val="22"/>
          <w:szCs w:val="22"/>
        </w:rPr>
        <w:t xml:space="preserve">Po skončení </w:t>
      </w:r>
      <w:r w:rsidRPr="007114EE">
        <w:rPr>
          <w:rFonts w:asciiTheme="minorHAnsi" w:hAnsiTheme="minorHAnsi" w:cstheme="minorHAnsi"/>
          <w:sz w:val="22"/>
          <w:szCs w:val="22"/>
        </w:rPr>
        <w:t>rozpočtového</w:t>
      </w:r>
      <w:r w:rsidR="009810D7" w:rsidRPr="007114EE">
        <w:rPr>
          <w:rFonts w:asciiTheme="minorHAnsi" w:hAnsiTheme="minorHAnsi" w:cstheme="minorHAnsi"/>
          <w:sz w:val="22"/>
          <w:szCs w:val="22"/>
        </w:rPr>
        <w:t xml:space="preserve"> roka je samosprávny kraj povinný údaje o rozpočtovom hospodárení súhrnne spracovať do záverečného účtu VÚC a návrh záverečného účtu predložiť na schválenie zastupiteľstvu samosprávneho kraja.</w:t>
      </w:r>
    </w:p>
    <w:p w:rsidR="00B03558" w:rsidRPr="007114EE" w:rsidRDefault="00B03558" w:rsidP="009810D7">
      <w:pPr>
        <w:ind w:firstLine="708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9810D7" w:rsidRPr="007114EE" w:rsidRDefault="00562763" w:rsidP="009810D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114EE">
        <w:rPr>
          <w:rFonts w:asciiTheme="minorHAnsi" w:hAnsiTheme="minorHAnsi" w:cstheme="minorHAnsi"/>
          <w:sz w:val="22"/>
          <w:szCs w:val="22"/>
        </w:rPr>
        <w:t>Podľa</w:t>
      </w:r>
      <w:r w:rsidR="009810D7" w:rsidRPr="007114EE">
        <w:rPr>
          <w:rFonts w:asciiTheme="minorHAnsi" w:hAnsiTheme="minorHAnsi" w:cstheme="minorHAnsi"/>
          <w:bCs w:val="0"/>
          <w:sz w:val="22"/>
          <w:szCs w:val="22"/>
        </w:rPr>
        <w:t xml:space="preserve"> </w:t>
      </w:r>
      <w:r w:rsidR="00C00C54" w:rsidRPr="007114EE">
        <w:rPr>
          <w:rFonts w:asciiTheme="minorHAnsi" w:hAnsiTheme="minorHAnsi" w:cstheme="minorHAnsi"/>
          <w:bCs w:val="0"/>
          <w:sz w:val="22"/>
          <w:szCs w:val="22"/>
        </w:rPr>
        <w:t xml:space="preserve">ustanovenia </w:t>
      </w:r>
      <w:r w:rsidR="009810D7" w:rsidRPr="007114EE">
        <w:rPr>
          <w:rFonts w:asciiTheme="minorHAnsi" w:hAnsiTheme="minorHAnsi" w:cstheme="minorHAnsi"/>
          <w:bCs w:val="0"/>
          <w:sz w:val="22"/>
          <w:szCs w:val="22"/>
        </w:rPr>
        <w:t>§ 19e ods. 1 písm. c) zákona č. 302/2001 Z. z.  o</w:t>
      </w:r>
      <w:r w:rsidRPr="007114EE">
        <w:rPr>
          <w:rFonts w:asciiTheme="minorHAnsi" w:hAnsiTheme="minorHAnsi" w:cstheme="minorHAnsi"/>
          <w:bCs w:val="0"/>
          <w:sz w:val="22"/>
          <w:szCs w:val="22"/>
        </w:rPr>
        <w:t xml:space="preserve"> samospráve vyšších územných celkov (zákon o </w:t>
      </w:r>
      <w:r w:rsidR="009810D7" w:rsidRPr="007114EE">
        <w:rPr>
          <w:rFonts w:asciiTheme="minorHAnsi" w:hAnsiTheme="minorHAnsi" w:cstheme="minorHAnsi"/>
          <w:bCs w:val="0"/>
          <w:sz w:val="22"/>
          <w:szCs w:val="22"/>
        </w:rPr>
        <w:t> samosprávnych krajoch</w:t>
      </w:r>
      <w:r w:rsidRPr="007114EE">
        <w:rPr>
          <w:rFonts w:asciiTheme="minorHAnsi" w:hAnsiTheme="minorHAnsi" w:cstheme="minorHAnsi"/>
          <w:bCs w:val="0"/>
          <w:sz w:val="22"/>
          <w:szCs w:val="22"/>
        </w:rPr>
        <w:t>)</w:t>
      </w:r>
      <w:r w:rsidR="009810D7" w:rsidRPr="007114EE">
        <w:rPr>
          <w:rFonts w:asciiTheme="minorHAnsi" w:hAnsiTheme="minorHAnsi" w:cstheme="minorHAnsi"/>
          <w:bCs w:val="0"/>
          <w:sz w:val="22"/>
          <w:szCs w:val="22"/>
        </w:rPr>
        <w:t xml:space="preserve"> v znení neskorších predpisov</w:t>
      </w:r>
      <w:r w:rsidR="008D541C" w:rsidRPr="007114EE">
        <w:rPr>
          <w:rFonts w:asciiTheme="minorHAnsi" w:hAnsiTheme="minorHAnsi" w:cstheme="minorHAnsi"/>
          <w:bCs w:val="0"/>
          <w:sz w:val="22"/>
          <w:szCs w:val="22"/>
        </w:rPr>
        <w:t xml:space="preserve"> (ďalej len „zákon o samosprávnych krajoch“)</w:t>
      </w:r>
      <w:r w:rsidR="009810D7" w:rsidRPr="007114EE">
        <w:rPr>
          <w:rFonts w:asciiTheme="minorHAnsi" w:hAnsiTheme="minorHAnsi" w:cstheme="minorHAnsi"/>
          <w:bCs w:val="0"/>
          <w:sz w:val="22"/>
          <w:szCs w:val="22"/>
        </w:rPr>
        <w:t>,</w:t>
      </w:r>
      <w:r w:rsidR="009810D7" w:rsidRPr="007114EE">
        <w:rPr>
          <w:rFonts w:asciiTheme="minorHAnsi" w:hAnsiTheme="minorHAnsi" w:cstheme="minorHAnsi"/>
          <w:sz w:val="22"/>
          <w:szCs w:val="22"/>
        </w:rPr>
        <w:t xml:space="preserve"> </w:t>
      </w:r>
      <w:r w:rsidR="008D541C" w:rsidRPr="007114EE">
        <w:rPr>
          <w:rFonts w:asciiTheme="minorHAnsi" w:hAnsiTheme="minorHAnsi" w:cstheme="minorHAnsi"/>
          <w:sz w:val="22"/>
          <w:szCs w:val="22"/>
        </w:rPr>
        <w:t xml:space="preserve">je </w:t>
      </w:r>
      <w:r w:rsidR="009810D7" w:rsidRPr="007114EE">
        <w:rPr>
          <w:rFonts w:asciiTheme="minorHAnsi" w:hAnsiTheme="minorHAnsi" w:cstheme="minorHAnsi"/>
          <w:sz w:val="22"/>
          <w:szCs w:val="22"/>
        </w:rPr>
        <w:t xml:space="preserve">hlavný kontrolór </w:t>
      </w:r>
      <w:r w:rsidR="008D541C" w:rsidRPr="007114EE">
        <w:rPr>
          <w:rFonts w:asciiTheme="minorHAnsi" w:hAnsiTheme="minorHAnsi" w:cstheme="minorHAnsi"/>
          <w:sz w:val="22"/>
          <w:szCs w:val="22"/>
        </w:rPr>
        <w:t xml:space="preserve">povinný </w:t>
      </w:r>
      <w:r w:rsidR="009810D7" w:rsidRPr="007114EE">
        <w:rPr>
          <w:rFonts w:asciiTheme="minorHAnsi" w:hAnsiTheme="minorHAnsi" w:cstheme="minorHAnsi"/>
          <w:sz w:val="22"/>
          <w:szCs w:val="22"/>
        </w:rPr>
        <w:t xml:space="preserve">pred jeho schválením zastupiteľstvom </w:t>
      </w:r>
      <w:r w:rsidR="00B03558" w:rsidRPr="007114EE">
        <w:rPr>
          <w:rFonts w:asciiTheme="minorHAnsi" w:hAnsiTheme="minorHAnsi" w:cstheme="minorHAnsi"/>
          <w:bCs w:val="0"/>
          <w:sz w:val="22"/>
          <w:szCs w:val="22"/>
        </w:rPr>
        <w:t>vypracovať</w:t>
      </w:r>
      <w:r w:rsidR="009810D7" w:rsidRPr="007114EE">
        <w:rPr>
          <w:rFonts w:asciiTheme="minorHAnsi" w:hAnsiTheme="minorHAnsi" w:cstheme="minorHAnsi"/>
          <w:bCs w:val="0"/>
          <w:sz w:val="22"/>
          <w:szCs w:val="22"/>
        </w:rPr>
        <w:t xml:space="preserve"> k návrhu </w:t>
      </w:r>
      <w:r w:rsidR="00B03558" w:rsidRPr="007114EE">
        <w:rPr>
          <w:rFonts w:asciiTheme="minorHAnsi" w:hAnsiTheme="minorHAnsi" w:cstheme="minorHAnsi"/>
          <w:bCs w:val="0"/>
          <w:sz w:val="22"/>
          <w:szCs w:val="22"/>
        </w:rPr>
        <w:t>záverečného účtu</w:t>
      </w:r>
      <w:r w:rsidR="009810D7" w:rsidRPr="007114EE">
        <w:rPr>
          <w:rFonts w:asciiTheme="minorHAnsi" w:hAnsiTheme="minorHAnsi" w:cstheme="minorHAnsi"/>
          <w:bCs w:val="0"/>
          <w:sz w:val="22"/>
          <w:szCs w:val="22"/>
        </w:rPr>
        <w:t xml:space="preserve"> odborné stanovisko</w:t>
      </w:r>
      <w:r w:rsidR="009810D7" w:rsidRPr="007114EE">
        <w:rPr>
          <w:rFonts w:asciiTheme="minorHAnsi" w:hAnsiTheme="minorHAnsi" w:cstheme="minorHAnsi"/>
          <w:sz w:val="22"/>
          <w:szCs w:val="22"/>
        </w:rPr>
        <w:t>.</w:t>
      </w:r>
    </w:p>
    <w:p w:rsidR="009810D7" w:rsidRPr="007114EE" w:rsidRDefault="009810D7" w:rsidP="009810D7">
      <w:pPr>
        <w:tabs>
          <w:tab w:val="left" w:pos="3330"/>
        </w:tabs>
        <w:ind w:firstLine="708"/>
        <w:jc w:val="both"/>
        <w:rPr>
          <w:rFonts w:asciiTheme="minorHAnsi" w:hAnsiTheme="minorHAnsi" w:cstheme="minorHAnsi"/>
          <w:bCs w:val="0"/>
          <w:sz w:val="22"/>
          <w:szCs w:val="22"/>
        </w:rPr>
      </w:pPr>
      <w:r w:rsidRPr="007114EE">
        <w:rPr>
          <w:rFonts w:asciiTheme="minorHAnsi" w:hAnsiTheme="minorHAnsi" w:cstheme="minorHAnsi"/>
          <w:sz w:val="22"/>
          <w:szCs w:val="22"/>
        </w:rPr>
        <w:t xml:space="preserve"> </w:t>
      </w:r>
      <w:r w:rsidRPr="007114EE">
        <w:rPr>
          <w:rFonts w:asciiTheme="minorHAnsi" w:hAnsiTheme="minorHAnsi" w:cstheme="minorHAnsi"/>
          <w:sz w:val="22"/>
          <w:szCs w:val="22"/>
        </w:rPr>
        <w:tab/>
      </w:r>
    </w:p>
    <w:p w:rsidR="009810D7" w:rsidRPr="007114EE" w:rsidRDefault="009810D7" w:rsidP="009810D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114EE">
        <w:rPr>
          <w:rFonts w:asciiTheme="minorHAnsi" w:hAnsiTheme="minorHAnsi" w:cstheme="minorHAnsi"/>
          <w:sz w:val="22"/>
          <w:szCs w:val="22"/>
        </w:rPr>
        <w:t xml:space="preserve">Predložené stanovisko </w:t>
      </w:r>
      <w:r w:rsidR="00CA1B9C" w:rsidRPr="007114EE">
        <w:rPr>
          <w:rFonts w:asciiTheme="minorHAnsi" w:hAnsiTheme="minorHAnsi" w:cstheme="minorHAnsi"/>
          <w:sz w:val="22"/>
          <w:szCs w:val="22"/>
        </w:rPr>
        <w:t>hlavného kontrolóra</w:t>
      </w:r>
      <w:r w:rsidRPr="007114EE">
        <w:rPr>
          <w:rFonts w:asciiTheme="minorHAnsi" w:hAnsiTheme="minorHAnsi" w:cstheme="minorHAnsi"/>
          <w:sz w:val="22"/>
          <w:szCs w:val="22"/>
        </w:rPr>
        <w:t xml:space="preserve"> k</w:t>
      </w:r>
      <w:r w:rsidR="00230EE3" w:rsidRPr="007114EE">
        <w:rPr>
          <w:rFonts w:asciiTheme="minorHAnsi" w:hAnsiTheme="minorHAnsi" w:cstheme="minorHAnsi"/>
          <w:sz w:val="22"/>
          <w:szCs w:val="22"/>
        </w:rPr>
        <w:t xml:space="preserve"> návrhu </w:t>
      </w:r>
      <w:r w:rsidR="00E6076C" w:rsidRPr="007114EE">
        <w:rPr>
          <w:rFonts w:asciiTheme="minorHAnsi" w:hAnsiTheme="minorHAnsi" w:cstheme="minorHAnsi"/>
          <w:sz w:val="22"/>
          <w:szCs w:val="22"/>
        </w:rPr>
        <w:t>Z</w:t>
      </w:r>
      <w:r w:rsidRPr="007114EE">
        <w:rPr>
          <w:rFonts w:asciiTheme="minorHAnsi" w:hAnsiTheme="minorHAnsi" w:cstheme="minorHAnsi"/>
          <w:sz w:val="22"/>
          <w:szCs w:val="22"/>
        </w:rPr>
        <w:t>áverečné</w:t>
      </w:r>
      <w:r w:rsidR="000B284B">
        <w:rPr>
          <w:rFonts w:asciiTheme="minorHAnsi" w:hAnsiTheme="minorHAnsi" w:cstheme="minorHAnsi"/>
          <w:sz w:val="22"/>
          <w:szCs w:val="22"/>
        </w:rPr>
        <w:t>ho</w:t>
      </w:r>
      <w:r w:rsidRPr="007114EE">
        <w:rPr>
          <w:rFonts w:asciiTheme="minorHAnsi" w:hAnsiTheme="minorHAnsi" w:cstheme="minorHAnsi"/>
          <w:sz w:val="22"/>
          <w:szCs w:val="22"/>
        </w:rPr>
        <w:t xml:space="preserve"> účtu Bratislavského samosprávneho kr</w:t>
      </w:r>
      <w:r w:rsidR="00420E6A" w:rsidRPr="007114EE">
        <w:rPr>
          <w:rFonts w:asciiTheme="minorHAnsi" w:hAnsiTheme="minorHAnsi" w:cstheme="minorHAnsi"/>
          <w:sz w:val="22"/>
          <w:szCs w:val="22"/>
        </w:rPr>
        <w:t>aja (ďalej len „BSK“) za rok 2020</w:t>
      </w:r>
      <w:r w:rsidRPr="007114EE">
        <w:rPr>
          <w:rFonts w:asciiTheme="minorHAnsi" w:hAnsiTheme="minorHAnsi" w:cstheme="minorHAnsi"/>
          <w:sz w:val="22"/>
          <w:szCs w:val="22"/>
        </w:rPr>
        <w:t xml:space="preserve"> je spracované na základe predloženého</w:t>
      </w:r>
      <w:r w:rsidR="00CA1B9C" w:rsidRPr="007114EE">
        <w:rPr>
          <w:rFonts w:asciiTheme="minorHAnsi" w:hAnsiTheme="minorHAnsi" w:cstheme="minorHAnsi"/>
          <w:sz w:val="22"/>
          <w:szCs w:val="22"/>
        </w:rPr>
        <w:t xml:space="preserve"> návrhu</w:t>
      </w:r>
      <w:r w:rsidRPr="007114EE">
        <w:rPr>
          <w:rFonts w:asciiTheme="minorHAnsi" w:hAnsiTheme="minorHAnsi" w:cstheme="minorHAnsi"/>
          <w:sz w:val="22"/>
          <w:szCs w:val="22"/>
        </w:rPr>
        <w:t xml:space="preserve"> </w:t>
      </w:r>
      <w:r w:rsidR="0041748C" w:rsidRPr="007114EE">
        <w:rPr>
          <w:rFonts w:asciiTheme="minorHAnsi" w:hAnsiTheme="minorHAnsi" w:cstheme="minorHAnsi"/>
          <w:sz w:val="22"/>
          <w:szCs w:val="22"/>
        </w:rPr>
        <w:t>Z</w:t>
      </w:r>
      <w:r w:rsidRPr="007114EE">
        <w:rPr>
          <w:rFonts w:asciiTheme="minorHAnsi" w:hAnsiTheme="minorHAnsi" w:cstheme="minorHAnsi"/>
          <w:sz w:val="22"/>
          <w:szCs w:val="22"/>
        </w:rPr>
        <w:t>áverečného účtu BSK</w:t>
      </w:r>
      <w:r w:rsidR="0041748C" w:rsidRPr="007114EE">
        <w:rPr>
          <w:rFonts w:asciiTheme="minorHAnsi" w:hAnsiTheme="minorHAnsi" w:cstheme="minorHAnsi"/>
          <w:sz w:val="22"/>
          <w:szCs w:val="22"/>
        </w:rPr>
        <w:t xml:space="preserve"> za rok 20</w:t>
      </w:r>
      <w:r w:rsidR="00420E6A" w:rsidRPr="007114EE">
        <w:rPr>
          <w:rFonts w:asciiTheme="minorHAnsi" w:hAnsiTheme="minorHAnsi" w:cstheme="minorHAnsi"/>
          <w:sz w:val="22"/>
          <w:szCs w:val="22"/>
        </w:rPr>
        <w:t>20</w:t>
      </w:r>
      <w:r w:rsidRPr="007114EE">
        <w:rPr>
          <w:rFonts w:asciiTheme="minorHAnsi" w:hAnsiTheme="minorHAnsi" w:cstheme="minorHAnsi"/>
          <w:sz w:val="22"/>
          <w:szCs w:val="22"/>
        </w:rPr>
        <w:t xml:space="preserve">, </w:t>
      </w:r>
      <w:r w:rsidR="0041748C" w:rsidRPr="007114EE">
        <w:rPr>
          <w:rFonts w:asciiTheme="minorHAnsi" w:hAnsiTheme="minorHAnsi" w:cstheme="minorHAnsi"/>
          <w:sz w:val="22"/>
          <w:szCs w:val="22"/>
        </w:rPr>
        <w:t>Z</w:t>
      </w:r>
      <w:r w:rsidRPr="007114EE">
        <w:rPr>
          <w:rFonts w:asciiTheme="minorHAnsi" w:hAnsiTheme="minorHAnsi" w:cstheme="minorHAnsi"/>
          <w:sz w:val="22"/>
          <w:szCs w:val="22"/>
        </w:rPr>
        <w:t>áverečných účtov BSK predchádzajúcich rozpočtových rokov</w:t>
      </w:r>
      <w:r w:rsidR="004C1803" w:rsidRPr="007114EE">
        <w:rPr>
          <w:rFonts w:asciiTheme="minorHAnsi" w:hAnsiTheme="minorHAnsi" w:cstheme="minorHAnsi"/>
          <w:sz w:val="22"/>
          <w:szCs w:val="22"/>
        </w:rPr>
        <w:t xml:space="preserve"> (201</w:t>
      </w:r>
      <w:r w:rsidR="00420E6A" w:rsidRPr="007114EE">
        <w:rPr>
          <w:rFonts w:asciiTheme="minorHAnsi" w:hAnsiTheme="minorHAnsi" w:cstheme="minorHAnsi"/>
          <w:sz w:val="22"/>
          <w:szCs w:val="22"/>
        </w:rPr>
        <w:t>7</w:t>
      </w:r>
      <w:r w:rsidR="004C1803" w:rsidRPr="007114EE">
        <w:rPr>
          <w:rFonts w:asciiTheme="minorHAnsi" w:hAnsiTheme="minorHAnsi" w:cstheme="minorHAnsi"/>
          <w:sz w:val="22"/>
          <w:szCs w:val="22"/>
        </w:rPr>
        <w:t xml:space="preserve"> – 2019)</w:t>
      </w:r>
      <w:r w:rsidRPr="007114EE">
        <w:rPr>
          <w:rFonts w:asciiTheme="minorHAnsi" w:hAnsiTheme="minorHAnsi" w:cstheme="minorHAnsi"/>
          <w:sz w:val="22"/>
          <w:szCs w:val="22"/>
        </w:rPr>
        <w:t xml:space="preserve">, schváleného viacročného rozpočtu </w:t>
      </w:r>
      <w:r w:rsidR="000B284B">
        <w:rPr>
          <w:rFonts w:asciiTheme="minorHAnsi" w:hAnsiTheme="minorHAnsi" w:cstheme="minorHAnsi"/>
          <w:sz w:val="22"/>
          <w:szCs w:val="22"/>
        </w:rPr>
        <w:t xml:space="preserve">BSK </w:t>
      </w:r>
      <w:r w:rsidRPr="007114EE">
        <w:rPr>
          <w:rFonts w:asciiTheme="minorHAnsi" w:hAnsiTheme="minorHAnsi" w:cstheme="minorHAnsi"/>
          <w:sz w:val="22"/>
          <w:szCs w:val="22"/>
        </w:rPr>
        <w:t>na roky 20</w:t>
      </w:r>
      <w:r w:rsidR="00420E6A" w:rsidRPr="007114EE">
        <w:rPr>
          <w:rFonts w:asciiTheme="minorHAnsi" w:hAnsiTheme="minorHAnsi" w:cstheme="minorHAnsi"/>
          <w:sz w:val="22"/>
          <w:szCs w:val="22"/>
        </w:rPr>
        <w:t>2</w:t>
      </w:r>
      <w:r w:rsidR="005D5D61" w:rsidRPr="007114EE">
        <w:rPr>
          <w:rFonts w:asciiTheme="minorHAnsi" w:hAnsiTheme="minorHAnsi" w:cstheme="minorHAnsi"/>
          <w:sz w:val="22"/>
          <w:szCs w:val="22"/>
        </w:rPr>
        <w:t>0</w:t>
      </w:r>
      <w:r w:rsidRPr="007114EE">
        <w:rPr>
          <w:rFonts w:asciiTheme="minorHAnsi" w:hAnsiTheme="minorHAnsi" w:cstheme="minorHAnsi"/>
          <w:sz w:val="22"/>
          <w:szCs w:val="22"/>
        </w:rPr>
        <w:t xml:space="preserve"> až 20</w:t>
      </w:r>
      <w:r w:rsidR="005C4B1E" w:rsidRPr="007114EE">
        <w:rPr>
          <w:rFonts w:asciiTheme="minorHAnsi" w:hAnsiTheme="minorHAnsi" w:cstheme="minorHAnsi"/>
          <w:sz w:val="22"/>
          <w:szCs w:val="22"/>
        </w:rPr>
        <w:t>2</w:t>
      </w:r>
      <w:r w:rsidR="00420E6A" w:rsidRPr="007114EE">
        <w:rPr>
          <w:rFonts w:asciiTheme="minorHAnsi" w:hAnsiTheme="minorHAnsi" w:cstheme="minorHAnsi"/>
          <w:sz w:val="22"/>
          <w:szCs w:val="22"/>
        </w:rPr>
        <w:t>2</w:t>
      </w:r>
      <w:r w:rsidRPr="007114EE">
        <w:rPr>
          <w:rFonts w:asciiTheme="minorHAnsi" w:hAnsiTheme="minorHAnsi" w:cstheme="minorHAnsi"/>
          <w:sz w:val="22"/>
          <w:szCs w:val="22"/>
        </w:rPr>
        <w:t xml:space="preserve"> a jeho úprav, materiálov predložených k vypracovaniu tohto stanoviska a poznatkov </w:t>
      </w:r>
      <w:r w:rsidR="00967965" w:rsidRPr="007114EE">
        <w:rPr>
          <w:rFonts w:asciiTheme="minorHAnsi" w:hAnsiTheme="minorHAnsi" w:cstheme="minorHAnsi"/>
          <w:sz w:val="22"/>
          <w:szCs w:val="22"/>
        </w:rPr>
        <w:t xml:space="preserve">získaných </w:t>
      </w:r>
      <w:r w:rsidRPr="007114EE">
        <w:rPr>
          <w:rFonts w:asciiTheme="minorHAnsi" w:hAnsiTheme="minorHAnsi" w:cstheme="minorHAnsi"/>
          <w:sz w:val="22"/>
          <w:szCs w:val="22"/>
        </w:rPr>
        <w:t>z kontrolnej činnosti.</w:t>
      </w:r>
    </w:p>
    <w:p w:rsidR="009810D7" w:rsidRPr="007114EE" w:rsidRDefault="009810D7" w:rsidP="009810D7">
      <w:pPr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  <w:r w:rsidRPr="007114EE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 </w:t>
      </w:r>
    </w:p>
    <w:p w:rsidR="009810D7" w:rsidRPr="007114EE" w:rsidRDefault="00924A0B" w:rsidP="009810D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114EE">
        <w:rPr>
          <w:rFonts w:asciiTheme="minorHAnsi" w:hAnsiTheme="minorHAnsi" w:cstheme="minorHAnsi"/>
          <w:sz w:val="22"/>
          <w:szCs w:val="22"/>
        </w:rPr>
        <w:t>H</w:t>
      </w:r>
      <w:r w:rsidR="009810D7" w:rsidRPr="007114EE">
        <w:rPr>
          <w:rFonts w:asciiTheme="minorHAnsi" w:hAnsiTheme="minorHAnsi" w:cstheme="minorHAnsi"/>
          <w:sz w:val="22"/>
          <w:szCs w:val="22"/>
        </w:rPr>
        <w:t>ospodárenie BSK</w:t>
      </w:r>
      <w:r w:rsidRPr="007114EE">
        <w:rPr>
          <w:rFonts w:asciiTheme="minorHAnsi" w:hAnsiTheme="minorHAnsi" w:cstheme="minorHAnsi"/>
          <w:sz w:val="22"/>
          <w:szCs w:val="22"/>
        </w:rPr>
        <w:t xml:space="preserve"> sa v roku 20</w:t>
      </w:r>
      <w:r w:rsidR="00420E6A" w:rsidRPr="007114EE">
        <w:rPr>
          <w:rFonts w:asciiTheme="minorHAnsi" w:hAnsiTheme="minorHAnsi" w:cstheme="minorHAnsi"/>
          <w:sz w:val="22"/>
          <w:szCs w:val="22"/>
        </w:rPr>
        <w:t>20</w:t>
      </w:r>
      <w:r w:rsidR="009810D7" w:rsidRPr="007114EE">
        <w:rPr>
          <w:rFonts w:asciiTheme="minorHAnsi" w:hAnsiTheme="minorHAnsi" w:cstheme="minorHAnsi"/>
          <w:sz w:val="22"/>
          <w:szCs w:val="22"/>
        </w:rPr>
        <w:t xml:space="preserve"> riadilo zákonom č. 523/2004 Z. z. o rozpočtových pravidlách verejnej správy a o zmene a doplnení niektorých zákonov v znení neskorších predpisov, zákonom</w:t>
      </w:r>
      <w:r w:rsidR="00D73833" w:rsidRPr="007114EE">
        <w:rPr>
          <w:rFonts w:asciiTheme="minorHAnsi" w:hAnsiTheme="minorHAnsi" w:cstheme="minorHAnsi"/>
          <w:sz w:val="22"/>
          <w:szCs w:val="22"/>
        </w:rPr>
        <w:t xml:space="preserve"> č.</w:t>
      </w:r>
      <w:r w:rsidR="009E30C4">
        <w:rPr>
          <w:rFonts w:asciiTheme="minorHAnsi" w:hAnsiTheme="minorHAnsi" w:cstheme="minorHAnsi"/>
          <w:sz w:val="22"/>
          <w:szCs w:val="22"/>
        </w:rPr>
        <w:t> </w:t>
      </w:r>
      <w:r w:rsidR="00D73833" w:rsidRPr="007114EE">
        <w:rPr>
          <w:rFonts w:asciiTheme="minorHAnsi" w:hAnsiTheme="minorHAnsi" w:cstheme="minorHAnsi"/>
          <w:sz w:val="22"/>
          <w:szCs w:val="22"/>
        </w:rPr>
        <w:t>583/2004</w:t>
      </w:r>
      <w:r w:rsidR="009E30C4">
        <w:rPr>
          <w:rFonts w:asciiTheme="minorHAnsi" w:hAnsiTheme="minorHAnsi" w:cstheme="minorHAnsi"/>
          <w:sz w:val="22"/>
          <w:szCs w:val="22"/>
        </w:rPr>
        <w:t> </w:t>
      </w:r>
      <w:r w:rsidR="00D73833" w:rsidRPr="007114EE">
        <w:rPr>
          <w:rFonts w:asciiTheme="minorHAnsi" w:hAnsiTheme="minorHAnsi" w:cstheme="minorHAnsi"/>
          <w:sz w:val="22"/>
          <w:szCs w:val="22"/>
        </w:rPr>
        <w:t xml:space="preserve">Z. z. </w:t>
      </w:r>
      <w:r w:rsidR="009810D7" w:rsidRPr="007114EE">
        <w:rPr>
          <w:rFonts w:asciiTheme="minorHAnsi" w:hAnsiTheme="minorHAnsi" w:cstheme="minorHAnsi"/>
          <w:sz w:val="22"/>
          <w:szCs w:val="22"/>
        </w:rPr>
        <w:t>o rozpočtových pravidlách územnej samosprávy</w:t>
      </w:r>
      <w:r w:rsidR="00D73833" w:rsidRPr="007114EE">
        <w:rPr>
          <w:rFonts w:asciiTheme="minorHAnsi" w:hAnsiTheme="minorHAnsi" w:cstheme="minorHAnsi"/>
          <w:sz w:val="22"/>
          <w:szCs w:val="22"/>
        </w:rPr>
        <w:t xml:space="preserve"> a o zmene a doplnení niektorých zákonov v znení neskorších predpisov (ďalej len „zákon o rozpočtových pravidlách územnej samosprávy“)</w:t>
      </w:r>
      <w:r w:rsidR="009810D7" w:rsidRPr="007114EE">
        <w:rPr>
          <w:rFonts w:asciiTheme="minorHAnsi" w:hAnsiTheme="minorHAnsi" w:cstheme="minorHAnsi"/>
          <w:sz w:val="22"/>
          <w:szCs w:val="22"/>
        </w:rPr>
        <w:t>, zákonom č.</w:t>
      </w:r>
      <w:r w:rsidR="007B2C49" w:rsidRPr="007114EE">
        <w:rPr>
          <w:rFonts w:asciiTheme="minorHAnsi" w:hAnsiTheme="minorHAnsi" w:cstheme="minorHAnsi"/>
          <w:sz w:val="22"/>
          <w:szCs w:val="22"/>
        </w:rPr>
        <w:t> </w:t>
      </w:r>
      <w:r w:rsidR="009810D7" w:rsidRPr="007114EE">
        <w:rPr>
          <w:rFonts w:asciiTheme="minorHAnsi" w:hAnsiTheme="minorHAnsi" w:cstheme="minorHAnsi"/>
          <w:sz w:val="22"/>
          <w:szCs w:val="22"/>
        </w:rPr>
        <w:t>564/2004 Z. z. o rozpočtovom určení výnosu dane z príjmov územnej samospráv</w:t>
      </w:r>
      <w:r w:rsidR="00562763" w:rsidRPr="007114EE">
        <w:rPr>
          <w:rFonts w:asciiTheme="minorHAnsi" w:hAnsiTheme="minorHAnsi" w:cstheme="minorHAnsi"/>
          <w:sz w:val="22"/>
          <w:szCs w:val="22"/>
        </w:rPr>
        <w:t>e</w:t>
      </w:r>
      <w:r w:rsidR="009810D7" w:rsidRPr="007114EE">
        <w:rPr>
          <w:rFonts w:asciiTheme="minorHAnsi" w:hAnsiTheme="minorHAnsi" w:cstheme="minorHAnsi"/>
          <w:sz w:val="22"/>
          <w:szCs w:val="22"/>
        </w:rPr>
        <w:t xml:space="preserve"> a o zmene a doplnení niektorých zákonov v znení neskorších predpisov, nariadením vlády SR č.</w:t>
      </w:r>
      <w:r w:rsidR="00D70045" w:rsidRPr="007114EE">
        <w:rPr>
          <w:rFonts w:asciiTheme="minorHAnsi" w:hAnsiTheme="minorHAnsi" w:cstheme="minorHAnsi"/>
          <w:sz w:val="22"/>
          <w:szCs w:val="22"/>
        </w:rPr>
        <w:t> </w:t>
      </w:r>
      <w:r w:rsidR="009810D7" w:rsidRPr="007114EE">
        <w:rPr>
          <w:rFonts w:asciiTheme="minorHAnsi" w:hAnsiTheme="minorHAnsi" w:cstheme="minorHAnsi"/>
          <w:sz w:val="22"/>
          <w:szCs w:val="22"/>
        </w:rPr>
        <w:t>668/2004 Z. z. o rozdeľovaní výnosu dane z príjmov územnej samospráve v znení neskorších predpisov</w:t>
      </w:r>
      <w:r w:rsidR="007930F9">
        <w:rPr>
          <w:rFonts w:asciiTheme="minorHAnsi" w:hAnsiTheme="minorHAnsi" w:cstheme="minorHAnsi"/>
          <w:sz w:val="22"/>
          <w:szCs w:val="22"/>
        </w:rPr>
        <w:t>, Zákona č. 67/2020 Z. z. o niektorých mimoriadnych opatreniach vo finančnej oblasti v súvislosti so šírením nebezpečnej nákazlivej ľudskej choroby COVID-19</w:t>
      </w:r>
      <w:r w:rsidR="009810D7" w:rsidRPr="007114EE">
        <w:rPr>
          <w:rFonts w:asciiTheme="minorHAnsi" w:hAnsiTheme="minorHAnsi" w:cstheme="minorHAnsi"/>
          <w:sz w:val="22"/>
          <w:szCs w:val="22"/>
        </w:rPr>
        <w:t xml:space="preserve">, ako aj ďalšími predpismi a všeobecne záväznými nariadeniami samosprávneho kraja. </w:t>
      </w:r>
    </w:p>
    <w:p w:rsidR="009810D7" w:rsidRPr="007114EE" w:rsidRDefault="009810D7" w:rsidP="009810D7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9810D7" w:rsidRPr="002D49BE" w:rsidRDefault="009810D7" w:rsidP="009810D7">
      <w:pPr>
        <w:tabs>
          <w:tab w:val="num" w:pos="1068"/>
        </w:tabs>
        <w:jc w:val="both"/>
        <w:rPr>
          <w:rFonts w:asciiTheme="minorHAnsi" w:hAnsiTheme="minorHAnsi" w:cstheme="minorHAnsi"/>
          <w:b/>
          <w:bCs w:val="0"/>
          <w:sz w:val="22"/>
          <w:szCs w:val="22"/>
        </w:rPr>
      </w:pPr>
      <w:r w:rsidRPr="002D49BE">
        <w:rPr>
          <w:rFonts w:asciiTheme="minorHAnsi" w:hAnsiTheme="minorHAnsi" w:cstheme="minorHAnsi"/>
          <w:b/>
          <w:bCs w:val="0"/>
          <w:sz w:val="22"/>
          <w:szCs w:val="22"/>
        </w:rPr>
        <w:t xml:space="preserve">1.       </w:t>
      </w:r>
      <w:r w:rsidRPr="002D49BE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 xml:space="preserve">Súhrnná charakteristika návrhu </w:t>
      </w:r>
      <w:r w:rsidR="00E6076C" w:rsidRPr="002D49BE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>Z</w:t>
      </w:r>
      <w:r w:rsidRPr="002D49BE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>áverečného účtu</w:t>
      </w:r>
      <w:r w:rsidR="00E6076C" w:rsidRPr="002D49BE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 xml:space="preserve"> za rok 20</w:t>
      </w:r>
      <w:r w:rsidR="00CB141D" w:rsidRPr="002D49BE">
        <w:rPr>
          <w:rFonts w:asciiTheme="minorHAnsi" w:hAnsiTheme="minorHAnsi" w:cstheme="minorHAnsi"/>
          <w:b/>
          <w:bCs w:val="0"/>
          <w:sz w:val="22"/>
          <w:szCs w:val="22"/>
          <w:u w:val="single"/>
        </w:rPr>
        <w:t>20</w:t>
      </w:r>
      <w:r w:rsidRPr="002D49BE">
        <w:rPr>
          <w:rFonts w:asciiTheme="minorHAnsi" w:hAnsiTheme="minorHAnsi" w:cstheme="minorHAnsi"/>
          <w:b/>
          <w:bCs w:val="0"/>
          <w:sz w:val="22"/>
          <w:szCs w:val="22"/>
        </w:rPr>
        <w:t xml:space="preserve"> </w:t>
      </w:r>
    </w:p>
    <w:p w:rsidR="009810D7" w:rsidRPr="007114EE" w:rsidRDefault="009810D7" w:rsidP="009810D7">
      <w:pPr>
        <w:jc w:val="both"/>
        <w:rPr>
          <w:rFonts w:asciiTheme="minorHAnsi" w:hAnsiTheme="minorHAnsi" w:cstheme="minorHAnsi"/>
          <w:b/>
          <w:bCs w:val="0"/>
          <w:sz w:val="22"/>
          <w:szCs w:val="22"/>
          <w:highlight w:val="yellow"/>
        </w:rPr>
      </w:pPr>
    </w:p>
    <w:p w:rsidR="009810D7" w:rsidRPr="007114EE" w:rsidRDefault="004F190C" w:rsidP="00861E08">
      <w:pPr>
        <w:ind w:firstLine="709"/>
        <w:jc w:val="both"/>
        <w:rPr>
          <w:rFonts w:asciiTheme="minorHAnsi" w:hAnsiTheme="minorHAnsi" w:cstheme="minorHAnsi"/>
          <w:bCs w:val="0"/>
          <w:i/>
          <w:sz w:val="22"/>
          <w:szCs w:val="22"/>
        </w:rPr>
      </w:pPr>
      <w:r w:rsidRPr="007114EE">
        <w:rPr>
          <w:rFonts w:asciiTheme="minorHAnsi" w:hAnsiTheme="minorHAnsi" w:cstheme="minorHAnsi"/>
          <w:sz w:val="22"/>
          <w:szCs w:val="22"/>
        </w:rPr>
        <w:t>Rozpočet B</w:t>
      </w:r>
      <w:r w:rsidR="0087527C" w:rsidRPr="007114EE">
        <w:rPr>
          <w:rFonts w:asciiTheme="minorHAnsi" w:hAnsiTheme="minorHAnsi" w:cstheme="minorHAnsi"/>
          <w:sz w:val="22"/>
          <w:szCs w:val="22"/>
        </w:rPr>
        <w:t xml:space="preserve">SK </w:t>
      </w:r>
      <w:r w:rsidRPr="007114EE">
        <w:rPr>
          <w:rFonts w:asciiTheme="minorHAnsi" w:hAnsiTheme="minorHAnsi" w:cstheme="minorHAnsi"/>
          <w:sz w:val="22"/>
          <w:szCs w:val="22"/>
        </w:rPr>
        <w:t>na rok 20</w:t>
      </w:r>
      <w:r w:rsidR="00CB141D" w:rsidRPr="007114EE">
        <w:rPr>
          <w:rFonts w:asciiTheme="minorHAnsi" w:hAnsiTheme="minorHAnsi" w:cstheme="minorHAnsi"/>
          <w:sz w:val="22"/>
          <w:szCs w:val="22"/>
        </w:rPr>
        <w:t>20</w:t>
      </w:r>
      <w:r w:rsidRPr="007114EE">
        <w:rPr>
          <w:rFonts w:asciiTheme="minorHAnsi" w:hAnsiTheme="minorHAnsi" w:cstheme="minorHAnsi"/>
          <w:sz w:val="22"/>
          <w:szCs w:val="22"/>
        </w:rPr>
        <w:t xml:space="preserve"> bol schválený uznesením č. </w:t>
      </w:r>
      <w:r w:rsidR="00CB141D" w:rsidRPr="007114EE">
        <w:rPr>
          <w:rFonts w:asciiTheme="minorHAnsi" w:hAnsiTheme="minorHAnsi" w:cstheme="minorHAnsi"/>
          <w:sz w:val="22"/>
          <w:szCs w:val="22"/>
        </w:rPr>
        <w:t>226</w:t>
      </w:r>
      <w:r w:rsidRPr="007114EE">
        <w:rPr>
          <w:rFonts w:asciiTheme="minorHAnsi" w:hAnsiTheme="minorHAnsi" w:cstheme="minorHAnsi"/>
          <w:sz w:val="22"/>
          <w:szCs w:val="22"/>
        </w:rPr>
        <w:t>/20</w:t>
      </w:r>
      <w:r w:rsidR="00CB141D" w:rsidRPr="007114EE">
        <w:rPr>
          <w:rFonts w:asciiTheme="minorHAnsi" w:hAnsiTheme="minorHAnsi" w:cstheme="minorHAnsi"/>
          <w:sz w:val="22"/>
          <w:szCs w:val="22"/>
        </w:rPr>
        <w:t>19</w:t>
      </w:r>
      <w:r w:rsidRPr="007114EE">
        <w:rPr>
          <w:rFonts w:asciiTheme="minorHAnsi" w:hAnsiTheme="minorHAnsi" w:cstheme="minorHAnsi"/>
          <w:sz w:val="22"/>
          <w:szCs w:val="22"/>
        </w:rPr>
        <w:t xml:space="preserve"> na</w:t>
      </w:r>
      <w:r w:rsidR="00D70045" w:rsidRPr="007114EE">
        <w:rPr>
          <w:rFonts w:asciiTheme="minorHAnsi" w:hAnsiTheme="minorHAnsi" w:cstheme="minorHAnsi"/>
          <w:sz w:val="22"/>
          <w:szCs w:val="22"/>
        </w:rPr>
        <w:t> </w:t>
      </w:r>
      <w:r w:rsidRPr="007114EE">
        <w:rPr>
          <w:rFonts w:asciiTheme="minorHAnsi" w:hAnsiTheme="minorHAnsi" w:cstheme="minorHAnsi"/>
          <w:sz w:val="22"/>
          <w:szCs w:val="22"/>
        </w:rPr>
        <w:t>riadnom zasadnutí Zastupiteľstva BSK dňa 1</w:t>
      </w:r>
      <w:r w:rsidR="00731BF4" w:rsidRPr="007114EE">
        <w:rPr>
          <w:rFonts w:asciiTheme="minorHAnsi" w:hAnsiTheme="minorHAnsi" w:cstheme="minorHAnsi"/>
          <w:sz w:val="22"/>
          <w:szCs w:val="22"/>
        </w:rPr>
        <w:t>3</w:t>
      </w:r>
      <w:r w:rsidRPr="007114EE">
        <w:rPr>
          <w:rFonts w:asciiTheme="minorHAnsi" w:hAnsiTheme="minorHAnsi" w:cstheme="minorHAnsi"/>
          <w:sz w:val="22"/>
          <w:szCs w:val="22"/>
        </w:rPr>
        <w:t>. decembra 201</w:t>
      </w:r>
      <w:r w:rsidR="00731BF4" w:rsidRPr="007114EE">
        <w:rPr>
          <w:rFonts w:asciiTheme="minorHAnsi" w:hAnsiTheme="minorHAnsi" w:cstheme="minorHAnsi"/>
          <w:sz w:val="22"/>
          <w:szCs w:val="22"/>
        </w:rPr>
        <w:t>9</w:t>
      </w:r>
      <w:r w:rsidRPr="007114EE">
        <w:rPr>
          <w:rFonts w:asciiTheme="minorHAnsi" w:hAnsiTheme="minorHAnsi" w:cstheme="minorHAnsi"/>
          <w:sz w:val="22"/>
          <w:szCs w:val="22"/>
        </w:rPr>
        <w:t xml:space="preserve">. Rozpočet BSK bol v súlade s </w:t>
      </w:r>
      <w:r w:rsidR="00E649EA" w:rsidRPr="007114EE">
        <w:rPr>
          <w:rFonts w:asciiTheme="minorHAnsi" w:hAnsiTheme="minorHAnsi" w:cstheme="minorHAnsi"/>
          <w:sz w:val="22"/>
          <w:szCs w:val="22"/>
        </w:rPr>
        <w:t xml:space="preserve">ustanovením </w:t>
      </w:r>
      <w:r w:rsidRPr="007114EE">
        <w:rPr>
          <w:rFonts w:asciiTheme="minorHAnsi" w:hAnsiTheme="minorHAnsi" w:cstheme="minorHAnsi"/>
          <w:sz w:val="22"/>
          <w:szCs w:val="22"/>
        </w:rPr>
        <w:t>§ 10 ods. 3 a ods. 7 zákona o</w:t>
      </w:r>
      <w:r w:rsidR="0087527C" w:rsidRPr="007114EE">
        <w:rPr>
          <w:rFonts w:asciiTheme="minorHAnsi" w:hAnsiTheme="minorHAnsi" w:cstheme="minorHAnsi"/>
          <w:sz w:val="22"/>
          <w:szCs w:val="22"/>
        </w:rPr>
        <w:t> </w:t>
      </w:r>
      <w:r w:rsidRPr="007114EE">
        <w:rPr>
          <w:rFonts w:asciiTheme="minorHAnsi" w:hAnsiTheme="minorHAnsi" w:cstheme="minorHAnsi"/>
          <w:sz w:val="22"/>
          <w:szCs w:val="22"/>
        </w:rPr>
        <w:t>rozpočtových pravidlách územnej samosprávy schválený ako vyrovnaný, v členení na bežný rozpočet, kapitálový rozpočet a finančné operácie. Celková výška príjmov a</w:t>
      </w:r>
      <w:r w:rsidR="00FD6049" w:rsidRPr="007114EE">
        <w:rPr>
          <w:rFonts w:asciiTheme="minorHAnsi" w:hAnsiTheme="minorHAnsi" w:cstheme="minorHAnsi"/>
          <w:sz w:val="22"/>
          <w:szCs w:val="22"/>
        </w:rPr>
        <w:t> </w:t>
      </w:r>
      <w:r w:rsidRPr="007114EE">
        <w:rPr>
          <w:rFonts w:asciiTheme="minorHAnsi" w:hAnsiTheme="minorHAnsi" w:cstheme="minorHAnsi"/>
          <w:sz w:val="22"/>
          <w:szCs w:val="22"/>
        </w:rPr>
        <w:t>výdavkov</w:t>
      </w:r>
      <w:r w:rsidR="00FD6049" w:rsidRPr="007114EE">
        <w:rPr>
          <w:rFonts w:asciiTheme="minorHAnsi" w:hAnsiTheme="minorHAnsi" w:cstheme="minorHAnsi"/>
          <w:sz w:val="22"/>
          <w:szCs w:val="22"/>
        </w:rPr>
        <w:t xml:space="preserve"> vrátane finančných operácií</w:t>
      </w:r>
      <w:r w:rsidRPr="007114EE">
        <w:rPr>
          <w:rFonts w:asciiTheme="minorHAnsi" w:hAnsiTheme="minorHAnsi" w:cstheme="minorHAnsi"/>
          <w:sz w:val="22"/>
          <w:szCs w:val="22"/>
        </w:rPr>
        <w:t xml:space="preserve"> bola schválená v</w:t>
      </w:r>
      <w:r w:rsidR="00861E08" w:rsidRPr="007114EE">
        <w:rPr>
          <w:rFonts w:asciiTheme="minorHAnsi" w:hAnsiTheme="minorHAnsi" w:cstheme="minorHAnsi"/>
          <w:sz w:val="22"/>
          <w:szCs w:val="22"/>
        </w:rPr>
        <w:t> </w:t>
      </w:r>
      <w:r w:rsidRPr="007114EE">
        <w:rPr>
          <w:rFonts w:asciiTheme="minorHAnsi" w:hAnsiTheme="minorHAnsi" w:cstheme="minorHAnsi"/>
          <w:sz w:val="22"/>
          <w:szCs w:val="22"/>
        </w:rPr>
        <w:t>sume</w:t>
      </w:r>
      <w:r w:rsidR="00861E08" w:rsidRPr="007114EE">
        <w:rPr>
          <w:rFonts w:asciiTheme="minorHAnsi" w:hAnsiTheme="minorHAnsi" w:cstheme="minorHAnsi"/>
          <w:sz w:val="22"/>
          <w:szCs w:val="22"/>
        </w:rPr>
        <w:t xml:space="preserve"> </w:t>
      </w:r>
      <w:r w:rsidR="00731BF4" w:rsidRPr="007114EE">
        <w:rPr>
          <w:rFonts w:asciiTheme="minorHAnsi" w:hAnsiTheme="minorHAnsi" w:cstheme="minorHAnsi"/>
          <w:b/>
          <w:sz w:val="22"/>
          <w:szCs w:val="22"/>
        </w:rPr>
        <w:t>210 708 035,37 EUR</w:t>
      </w:r>
      <w:r w:rsidR="00861E08" w:rsidRPr="007114E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61E08" w:rsidRPr="007114EE">
        <w:rPr>
          <w:rFonts w:asciiTheme="minorHAnsi" w:hAnsiTheme="minorHAnsi" w:cstheme="minorHAnsi"/>
          <w:sz w:val="22"/>
          <w:szCs w:val="22"/>
        </w:rPr>
        <w:t>(rok 201</w:t>
      </w:r>
      <w:r w:rsidR="00731BF4" w:rsidRPr="007114EE">
        <w:rPr>
          <w:rFonts w:asciiTheme="minorHAnsi" w:hAnsiTheme="minorHAnsi" w:cstheme="minorHAnsi"/>
          <w:sz w:val="22"/>
          <w:szCs w:val="22"/>
        </w:rPr>
        <w:t>9</w:t>
      </w:r>
      <w:r w:rsidR="00861E08" w:rsidRPr="007114EE">
        <w:rPr>
          <w:rFonts w:asciiTheme="minorHAnsi" w:hAnsiTheme="minorHAnsi" w:cstheme="minorHAnsi"/>
          <w:sz w:val="22"/>
          <w:szCs w:val="22"/>
        </w:rPr>
        <w:t xml:space="preserve"> vo výške 1</w:t>
      </w:r>
      <w:r w:rsidR="00731BF4" w:rsidRPr="007114EE">
        <w:rPr>
          <w:rFonts w:asciiTheme="minorHAnsi" w:hAnsiTheme="minorHAnsi" w:cstheme="minorHAnsi"/>
          <w:sz w:val="22"/>
          <w:szCs w:val="22"/>
        </w:rPr>
        <w:t>90 430 231,87 EUR</w:t>
      </w:r>
      <w:r w:rsidR="00861E08" w:rsidRPr="007114EE">
        <w:rPr>
          <w:rFonts w:asciiTheme="minorHAnsi" w:hAnsiTheme="minorHAnsi" w:cstheme="minorHAnsi"/>
          <w:sz w:val="22"/>
          <w:szCs w:val="22"/>
        </w:rPr>
        <w:t>).</w:t>
      </w:r>
      <w:r w:rsidRPr="007114EE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D2656E" w:rsidRPr="007114EE" w:rsidRDefault="00D2656E" w:rsidP="009810D7">
      <w:pPr>
        <w:ind w:firstLine="708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9810D7" w:rsidRPr="007114EE" w:rsidRDefault="009810D7" w:rsidP="0055467B">
      <w:pPr>
        <w:ind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114EE">
        <w:rPr>
          <w:rFonts w:asciiTheme="minorHAnsi" w:hAnsiTheme="minorHAnsi" w:cstheme="minorHAnsi"/>
          <w:sz w:val="22"/>
          <w:szCs w:val="22"/>
          <w:u w:val="single"/>
        </w:rPr>
        <w:t>Bežný rozpočet</w:t>
      </w:r>
      <w:r w:rsidRPr="007114EE">
        <w:rPr>
          <w:rFonts w:asciiTheme="minorHAnsi" w:hAnsiTheme="minorHAnsi" w:cstheme="minorHAnsi"/>
          <w:sz w:val="22"/>
          <w:szCs w:val="22"/>
        </w:rPr>
        <w:t xml:space="preserve"> bol schválený ako prebytkový v</w:t>
      </w:r>
      <w:r w:rsidR="003D2E40" w:rsidRPr="007114EE">
        <w:rPr>
          <w:rFonts w:asciiTheme="minorHAnsi" w:hAnsiTheme="minorHAnsi" w:cstheme="minorHAnsi"/>
          <w:sz w:val="22"/>
          <w:szCs w:val="22"/>
        </w:rPr>
        <w:t> </w:t>
      </w:r>
      <w:r w:rsidRPr="007114EE">
        <w:rPr>
          <w:rFonts w:asciiTheme="minorHAnsi" w:hAnsiTheme="minorHAnsi" w:cstheme="minorHAnsi"/>
          <w:sz w:val="22"/>
          <w:szCs w:val="22"/>
        </w:rPr>
        <w:t>sume</w:t>
      </w:r>
      <w:r w:rsidR="003D2E40" w:rsidRPr="007114EE">
        <w:rPr>
          <w:rFonts w:asciiTheme="minorHAnsi" w:hAnsiTheme="minorHAnsi" w:cstheme="minorHAnsi"/>
          <w:sz w:val="22"/>
          <w:szCs w:val="22"/>
        </w:rPr>
        <w:t xml:space="preserve"> </w:t>
      </w:r>
      <w:r w:rsidR="00210E9E" w:rsidRPr="007114EE">
        <w:rPr>
          <w:rFonts w:asciiTheme="minorHAnsi" w:hAnsiTheme="minorHAnsi" w:cstheme="minorHAnsi"/>
          <w:b/>
          <w:sz w:val="22"/>
          <w:szCs w:val="22"/>
        </w:rPr>
        <w:t>4 259 255,77 EUR</w:t>
      </w:r>
      <w:r w:rsidRPr="007114EE">
        <w:rPr>
          <w:rFonts w:asciiTheme="minorHAnsi" w:hAnsiTheme="minorHAnsi" w:cstheme="minorHAnsi"/>
          <w:sz w:val="22"/>
          <w:szCs w:val="22"/>
        </w:rPr>
        <w:t>, v príjmovej časti v</w:t>
      </w:r>
      <w:r w:rsidR="00210E9E" w:rsidRPr="007114EE">
        <w:rPr>
          <w:rFonts w:asciiTheme="minorHAnsi" w:hAnsiTheme="minorHAnsi" w:cstheme="minorHAnsi"/>
          <w:sz w:val="22"/>
          <w:szCs w:val="22"/>
        </w:rPr>
        <w:t> </w:t>
      </w:r>
      <w:r w:rsidRPr="007114EE">
        <w:rPr>
          <w:rFonts w:asciiTheme="minorHAnsi" w:hAnsiTheme="minorHAnsi" w:cstheme="minorHAnsi"/>
          <w:sz w:val="22"/>
          <w:szCs w:val="22"/>
        </w:rPr>
        <w:t>sume</w:t>
      </w:r>
      <w:r w:rsidR="00210E9E" w:rsidRPr="007114EE">
        <w:rPr>
          <w:rFonts w:asciiTheme="minorHAnsi" w:hAnsiTheme="minorHAnsi" w:cstheme="minorHAnsi"/>
          <w:sz w:val="22"/>
          <w:szCs w:val="22"/>
        </w:rPr>
        <w:t xml:space="preserve"> </w:t>
      </w:r>
      <w:r w:rsidR="00210E9E" w:rsidRPr="007114EE">
        <w:rPr>
          <w:rFonts w:asciiTheme="minorHAnsi" w:hAnsiTheme="minorHAnsi" w:cstheme="minorHAnsi"/>
          <w:b/>
          <w:sz w:val="22"/>
          <w:szCs w:val="22"/>
        </w:rPr>
        <w:t>175 181 988,30 EUR</w:t>
      </w:r>
      <w:r w:rsidR="004B2003" w:rsidRPr="007114EE">
        <w:rPr>
          <w:rFonts w:asciiTheme="minorHAnsi" w:hAnsiTheme="minorHAnsi" w:cstheme="minorHAnsi"/>
          <w:sz w:val="22"/>
          <w:szCs w:val="22"/>
        </w:rPr>
        <w:t xml:space="preserve"> </w:t>
      </w:r>
      <w:r w:rsidR="00997AFF" w:rsidRPr="0096242F">
        <w:rPr>
          <w:rFonts w:asciiTheme="minorHAnsi" w:hAnsiTheme="minorHAnsi" w:cstheme="minorHAnsi"/>
          <w:bCs w:val="0"/>
          <w:i/>
          <w:sz w:val="22"/>
          <w:szCs w:val="22"/>
        </w:rPr>
        <w:t>(201</w:t>
      </w:r>
      <w:r w:rsidR="00210E9E" w:rsidRPr="0096242F">
        <w:rPr>
          <w:rFonts w:asciiTheme="minorHAnsi" w:hAnsiTheme="minorHAnsi" w:cstheme="minorHAnsi"/>
          <w:bCs w:val="0"/>
          <w:i/>
          <w:sz w:val="22"/>
          <w:szCs w:val="22"/>
        </w:rPr>
        <w:t>9</w:t>
      </w:r>
      <w:r w:rsidR="00F774DB" w:rsidRPr="0096242F">
        <w:rPr>
          <w:rFonts w:asciiTheme="minorHAnsi" w:hAnsiTheme="minorHAnsi" w:cstheme="minorHAnsi"/>
          <w:bCs w:val="0"/>
          <w:i/>
          <w:sz w:val="22"/>
          <w:szCs w:val="22"/>
        </w:rPr>
        <w:t xml:space="preserve"> </w:t>
      </w:r>
      <w:r w:rsidR="00997AFF" w:rsidRPr="0096242F">
        <w:rPr>
          <w:rFonts w:asciiTheme="minorHAnsi" w:hAnsiTheme="minorHAnsi" w:cstheme="minorHAnsi"/>
          <w:bCs w:val="0"/>
          <w:i/>
          <w:sz w:val="22"/>
          <w:szCs w:val="22"/>
        </w:rPr>
        <w:t>=</w:t>
      </w:r>
      <w:r w:rsidR="00F774DB" w:rsidRPr="0096242F">
        <w:rPr>
          <w:rFonts w:asciiTheme="minorHAnsi" w:hAnsiTheme="minorHAnsi" w:cstheme="minorHAnsi"/>
          <w:bCs w:val="0"/>
          <w:i/>
          <w:sz w:val="22"/>
          <w:szCs w:val="22"/>
        </w:rPr>
        <w:t xml:space="preserve"> </w:t>
      </w:r>
      <w:r w:rsidR="00210E9E" w:rsidRPr="0096242F">
        <w:rPr>
          <w:rFonts w:asciiTheme="minorHAnsi" w:hAnsiTheme="minorHAnsi" w:cstheme="minorHAnsi"/>
          <w:i/>
          <w:sz w:val="22"/>
          <w:szCs w:val="22"/>
        </w:rPr>
        <w:t>158 435 800,23 EUR</w:t>
      </w:r>
      <w:r w:rsidRPr="0096242F">
        <w:rPr>
          <w:rFonts w:asciiTheme="minorHAnsi" w:hAnsiTheme="minorHAnsi" w:cstheme="minorHAnsi"/>
          <w:bCs w:val="0"/>
          <w:i/>
          <w:sz w:val="22"/>
          <w:szCs w:val="22"/>
        </w:rPr>
        <w:t>)</w:t>
      </w:r>
      <w:r w:rsidRPr="007114EE">
        <w:rPr>
          <w:rFonts w:asciiTheme="minorHAnsi" w:hAnsiTheme="minorHAnsi" w:cstheme="minorHAnsi"/>
          <w:sz w:val="22"/>
          <w:szCs w:val="22"/>
        </w:rPr>
        <w:t xml:space="preserve"> a vo výdavkovej časti v sume </w:t>
      </w:r>
      <w:r w:rsidR="00210E9E" w:rsidRPr="007114EE">
        <w:rPr>
          <w:rFonts w:asciiTheme="minorHAnsi" w:hAnsiTheme="minorHAnsi" w:cstheme="minorHAnsi"/>
          <w:b/>
          <w:sz w:val="22"/>
          <w:szCs w:val="22"/>
        </w:rPr>
        <w:t>170 922 732,53 EUR</w:t>
      </w:r>
      <w:r w:rsidR="00997AFF" w:rsidRPr="007114EE">
        <w:rPr>
          <w:rFonts w:asciiTheme="minorHAnsi" w:hAnsiTheme="minorHAnsi" w:cstheme="minorHAnsi"/>
          <w:sz w:val="22"/>
          <w:szCs w:val="22"/>
        </w:rPr>
        <w:t xml:space="preserve"> </w:t>
      </w:r>
      <w:r w:rsidR="00997AFF" w:rsidRPr="0096242F">
        <w:rPr>
          <w:rFonts w:asciiTheme="minorHAnsi" w:hAnsiTheme="minorHAnsi" w:cstheme="minorHAnsi"/>
          <w:bCs w:val="0"/>
          <w:i/>
          <w:sz w:val="22"/>
          <w:szCs w:val="22"/>
        </w:rPr>
        <w:t>(201</w:t>
      </w:r>
      <w:r w:rsidR="00210E9E" w:rsidRPr="0096242F">
        <w:rPr>
          <w:rFonts w:asciiTheme="minorHAnsi" w:hAnsiTheme="minorHAnsi" w:cstheme="minorHAnsi"/>
          <w:bCs w:val="0"/>
          <w:i/>
          <w:sz w:val="22"/>
          <w:szCs w:val="22"/>
        </w:rPr>
        <w:t>9</w:t>
      </w:r>
      <w:r w:rsidR="00094226" w:rsidRPr="0096242F">
        <w:rPr>
          <w:rFonts w:asciiTheme="minorHAnsi" w:hAnsiTheme="minorHAnsi" w:cstheme="minorHAnsi"/>
          <w:bCs w:val="0"/>
          <w:i/>
          <w:sz w:val="22"/>
          <w:szCs w:val="22"/>
        </w:rPr>
        <w:t xml:space="preserve"> </w:t>
      </w:r>
      <w:r w:rsidR="00997AFF" w:rsidRPr="0096242F">
        <w:rPr>
          <w:rFonts w:asciiTheme="minorHAnsi" w:hAnsiTheme="minorHAnsi" w:cstheme="minorHAnsi"/>
          <w:bCs w:val="0"/>
          <w:i/>
          <w:sz w:val="22"/>
          <w:szCs w:val="22"/>
        </w:rPr>
        <w:t>=</w:t>
      </w:r>
      <w:r w:rsidR="00094226" w:rsidRPr="0096242F">
        <w:rPr>
          <w:rFonts w:asciiTheme="minorHAnsi" w:hAnsiTheme="minorHAnsi" w:cstheme="minorHAnsi"/>
          <w:bCs w:val="0"/>
          <w:i/>
          <w:sz w:val="22"/>
          <w:szCs w:val="22"/>
        </w:rPr>
        <w:t xml:space="preserve"> </w:t>
      </w:r>
      <w:r w:rsidR="00210E9E" w:rsidRPr="0096242F">
        <w:rPr>
          <w:rFonts w:asciiTheme="minorHAnsi" w:hAnsiTheme="minorHAnsi" w:cstheme="minorHAnsi"/>
          <w:sz w:val="22"/>
          <w:szCs w:val="22"/>
        </w:rPr>
        <w:t>150 892 967,34 EUR</w:t>
      </w:r>
      <w:r w:rsidRPr="0096242F">
        <w:rPr>
          <w:rFonts w:asciiTheme="minorHAnsi" w:hAnsiTheme="minorHAnsi" w:cstheme="minorHAnsi"/>
          <w:bCs w:val="0"/>
          <w:i/>
          <w:sz w:val="22"/>
          <w:szCs w:val="22"/>
        </w:rPr>
        <w:t>)</w:t>
      </w:r>
      <w:r w:rsidRPr="007114EE">
        <w:rPr>
          <w:rFonts w:asciiTheme="minorHAnsi" w:hAnsiTheme="minorHAnsi" w:cstheme="minorHAnsi"/>
          <w:bCs w:val="0"/>
          <w:i/>
          <w:sz w:val="22"/>
          <w:szCs w:val="22"/>
        </w:rPr>
        <w:t>.</w:t>
      </w:r>
      <w:r w:rsidRPr="007114EE">
        <w:rPr>
          <w:rFonts w:asciiTheme="minorHAnsi" w:hAnsiTheme="minorHAnsi" w:cstheme="minorHAnsi"/>
          <w:sz w:val="22"/>
          <w:szCs w:val="22"/>
        </w:rPr>
        <w:t xml:space="preserve"> </w:t>
      </w:r>
      <w:r w:rsidRPr="007114EE">
        <w:rPr>
          <w:rFonts w:asciiTheme="minorHAnsi" w:hAnsiTheme="minorHAnsi" w:cstheme="minorHAnsi"/>
          <w:sz w:val="22"/>
          <w:szCs w:val="22"/>
          <w:u w:val="single"/>
        </w:rPr>
        <w:t>Kapitálový rozpočet</w:t>
      </w:r>
      <w:r w:rsidRPr="007114EE">
        <w:rPr>
          <w:rFonts w:asciiTheme="minorHAnsi" w:hAnsiTheme="minorHAnsi" w:cstheme="minorHAnsi"/>
          <w:sz w:val="22"/>
          <w:szCs w:val="22"/>
        </w:rPr>
        <w:t xml:space="preserve"> bol schválený ako schodkový vo výške </w:t>
      </w:r>
      <w:r w:rsidR="00EA4F1B" w:rsidRPr="007114EE">
        <w:rPr>
          <w:rFonts w:asciiTheme="minorHAnsi" w:hAnsiTheme="minorHAnsi" w:cstheme="minorHAnsi"/>
          <w:b/>
          <w:sz w:val="22"/>
          <w:szCs w:val="22"/>
        </w:rPr>
        <w:t>24</w:t>
      </w:r>
      <w:r w:rsidR="003C192D" w:rsidRPr="007114EE">
        <w:rPr>
          <w:rFonts w:asciiTheme="minorHAnsi" w:hAnsiTheme="minorHAnsi" w:cstheme="minorHAnsi"/>
          <w:b/>
          <w:sz w:val="22"/>
          <w:szCs w:val="22"/>
        </w:rPr>
        <w:t> 497 683,87 EUR</w:t>
      </w:r>
      <w:r w:rsidR="00997AFF" w:rsidRPr="007114EE">
        <w:rPr>
          <w:rFonts w:asciiTheme="minorHAnsi" w:hAnsiTheme="minorHAnsi" w:cstheme="minorHAnsi"/>
          <w:sz w:val="22"/>
          <w:szCs w:val="22"/>
        </w:rPr>
        <w:t xml:space="preserve"> </w:t>
      </w:r>
      <w:r w:rsidR="00997AFF" w:rsidRPr="007114EE">
        <w:rPr>
          <w:rFonts w:asciiTheme="minorHAnsi" w:hAnsiTheme="minorHAnsi" w:cstheme="minorHAnsi"/>
          <w:bCs w:val="0"/>
          <w:i/>
          <w:sz w:val="22"/>
          <w:szCs w:val="22"/>
        </w:rPr>
        <w:t>(201</w:t>
      </w:r>
      <w:r w:rsidR="00EA4F1B" w:rsidRPr="007114EE">
        <w:rPr>
          <w:rFonts w:asciiTheme="minorHAnsi" w:hAnsiTheme="minorHAnsi" w:cstheme="minorHAnsi"/>
          <w:bCs w:val="0"/>
          <w:i/>
          <w:sz w:val="22"/>
          <w:szCs w:val="22"/>
        </w:rPr>
        <w:t>9</w:t>
      </w:r>
      <w:r w:rsidR="00997AFF" w:rsidRPr="007114EE">
        <w:rPr>
          <w:rFonts w:asciiTheme="minorHAnsi" w:hAnsiTheme="minorHAnsi" w:cstheme="minorHAnsi"/>
          <w:bCs w:val="0"/>
          <w:i/>
          <w:sz w:val="22"/>
          <w:szCs w:val="22"/>
        </w:rPr>
        <w:t xml:space="preserve"> = </w:t>
      </w:r>
      <w:r w:rsidR="00EA4F1B" w:rsidRPr="002D49BE">
        <w:rPr>
          <w:rFonts w:asciiTheme="minorHAnsi" w:hAnsiTheme="minorHAnsi" w:cstheme="minorHAnsi"/>
          <w:i/>
          <w:sz w:val="22"/>
          <w:szCs w:val="22"/>
        </w:rPr>
        <w:t>21 410 446,41 EUR</w:t>
      </w:r>
      <w:r w:rsidR="00FB4821" w:rsidRPr="007114EE">
        <w:rPr>
          <w:rFonts w:asciiTheme="minorHAnsi" w:hAnsiTheme="minorHAnsi" w:cstheme="minorHAnsi"/>
          <w:bCs w:val="0"/>
          <w:i/>
          <w:sz w:val="22"/>
          <w:szCs w:val="22"/>
        </w:rPr>
        <w:t>)</w:t>
      </w:r>
      <w:r w:rsidRPr="007114EE">
        <w:rPr>
          <w:rFonts w:asciiTheme="minorHAnsi" w:hAnsiTheme="minorHAnsi" w:cstheme="minorHAnsi"/>
          <w:bCs w:val="0"/>
          <w:i/>
          <w:sz w:val="22"/>
          <w:szCs w:val="22"/>
        </w:rPr>
        <w:t>,</w:t>
      </w:r>
      <w:r w:rsidRPr="007114EE">
        <w:rPr>
          <w:rFonts w:asciiTheme="minorHAnsi" w:hAnsiTheme="minorHAnsi" w:cstheme="minorHAnsi"/>
          <w:bCs w:val="0"/>
          <w:sz w:val="22"/>
          <w:szCs w:val="22"/>
        </w:rPr>
        <w:t xml:space="preserve"> </w:t>
      </w:r>
      <w:r w:rsidRPr="007114EE">
        <w:rPr>
          <w:rFonts w:asciiTheme="minorHAnsi" w:hAnsiTheme="minorHAnsi" w:cstheme="minorHAnsi"/>
          <w:sz w:val="22"/>
          <w:szCs w:val="22"/>
        </w:rPr>
        <w:t>v príjmovej časti vo výške</w:t>
      </w:r>
      <w:r w:rsidR="00D77C10" w:rsidRPr="007114EE">
        <w:rPr>
          <w:rFonts w:asciiTheme="minorHAnsi" w:hAnsiTheme="minorHAnsi" w:cstheme="minorHAnsi"/>
          <w:sz w:val="22"/>
          <w:szCs w:val="22"/>
        </w:rPr>
        <w:t xml:space="preserve"> </w:t>
      </w:r>
      <w:r w:rsidR="003C192D" w:rsidRPr="007114EE">
        <w:rPr>
          <w:rFonts w:asciiTheme="minorHAnsi" w:hAnsiTheme="minorHAnsi" w:cstheme="minorHAnsi"/>
          <w:b/>
          <w:sz w:val="22"/>
          <w:szCs w:val="22"/>
        </w:rPr>
        <w:t>11 212 450,55</w:t>
      </w:r>
      <w:r w:rsidR="00DE0BFB" w:rsidRPr="007114EE">
        <w:rPr>
          <w:rFonts w:asciiTheme="minorHAnsi" w:hAnsiTheme="minorHAnsi" w:cstheme="minorHAnsi"/>
          <w:sz w:val="22"/>
          <w:szCs w:val="22"/>
        </w:rPr>
        <w:t xml:space="preserve"> </w:t>
      </w:r>
      <w:r w:rsidR="003C192D" w:rsidRPr="007114EE">
        <w:rPr>
          <w:rFonts w:asciiTheme="minorHAnsi" w:hAnsiTheme="minorHAnsi" w:cstheme="minorHAnsi"/>
          <w:b/>
          <w:sz w:val="22"/>
          <w:szCs w:val="22"/>
        </w:rPr>
        <w:t>EUR</w:t>
      </w:r>
      <w:r w:rsidR="00907502" w:rsidRPr="007114EE">
        <w:rPr>
          <w:rFonts w:asciiTheme="minorHAnsi" w:hAnsiTheme="minorHAnsi" w:cstheme="minorHAnsi"/>
          <w:sz w:val="22"/>
          <w:szCs w:val="22"/>
        </w:rPr>
        <w:t xml:space="preserve"> </w:t>
      </w:r>
      <w:r w:rsidR="00907502" w:rsidRPr="007114EE">
        <w:rPr>
          <w:rFonts w:asciiTheme="minorHAnsi" w:hAnsiTheme="minorHAnsi" w:cstheme="minorHAnsi"/>
          <w:bCs w:val="0"/>
          <w:i/>
          <w:sz w:val="22"/>
          <w:szCs w:val="22"/>
        </w:rPr>
        <w:t>(201</w:t>
      </w:r>
      <w:r w:rsidR="003C192D" w:rsidRPr="007114EE">
        <w:rPr>
          <w:rFonts w:asciiTheme="minorHAnsi" w:hAnsiTheme="minorHAnsi" w:cstheme="minorHAnsi"/>
          <w:bCs w:val="0"/>
          <w:i/>
          <w:sz w:val="22"/>
          <w:szCs w:val="22"/>
        </w:rPr>
        <w:t>9</w:t>
      </w:r>
      <w:r w:rsidR="00907502" w:rsidRPr="007114EE">
        <w:rPr>
          <w:rFonts w:asciiTheme="minorHAnsi" w:hAnsiTheme="minorHAnsi" w:cstheme="minorHAnsi"/>
          <w:bCs w:val="0"/>
          <w:i/>
          <w:sz w:val="22"/>
          <w:szCs w:val="22"/>
        </w:rPr>
        <w:t xml:space="preserve"> =</w:t>
      </w:r>
      <w:r w:rsidR="00F774DB" w:rsidRPr="007114EE">
        <w:rPr>
          <w:rFonts w:asciiTheme="minorHAnsi" w:hAnsiTheme="minorHAnsi" w:cstheme="minorHAnsi"/>
          <w:bCs w:val="0"/>
          <w:i/>
          <w:sz w:val="22"/>
          <w:szCs w:val="22"/>
        </w:rPr>
        <w:t xml:space="preserve"> </w:t>
      </w:r>
      <w:r w:rsidR="003C192D" w:rsidRPr="002D49BE">
        <w:rPr>
          <w:rFonts w:asciiTheme="minorHAnsi" w:hAnsiTheme="minorHAnsi" w:cstheme="minorHAnsi"/>
          <w:i/>
          <w:sz w:val="22"/>
          <w:szCs w:val="22"/>
        </w:rPr>
        <w:t>14 262 649,70 EUR</w:t>
      </w:r>
      <w:r w:rsidRPr="007114EE">
        <w:rPr>
          <w:rFonts w:asciiTheme="minorHAnsi" w:hAnsiTheme="minorHAnsi" w:cstheme="minorHAnsi"/>
          <w:bCs w:val="0"/>
          <w:i/>
          <w:sz w:val="22"/>
          <w:szCs w:val="22"/>
        </w:rPr>
        <w:t>)</w:t>
      </w:r>
      <w:r w:rsidRPr="007114EE">
        <w:rPr>
          <w:rFonts w:asciiTheme="minorHAnsi" w:hAnsiTheme="minorHAnsi" w:cstheme="minorHAnsi"/>
          <w:sz w:val="22"/>
          <w:szCs w:val="22"/>
        </w:rPr>
        <w:t xml:space="preserve"> a</w:t>
      </w:r>
      <w:r w:rsidR="009E30C4">
        <w:rPr>
          <w:rFonts w:asciiTheme="minorHAnsi" w:hAnsiTheme="minorHAnsi" w:cstheme="minorHAnsi"/>
          <w:sz w:val="22"/>
          <w:szCs w:val="22"/>
        </w:rPr>
        <w:t> </w:t>
      </w:r>
      <w:r w:rsidRPr="007114EE">
        <w:rPr>
          <w:rFonts w:asciiTheme="minorHAnsi" w:hAnsiTheme="minorHAnsi" w:cstheme="minorHAnsi"/>
          <w:sz w:val="22"/>
          <w:szCs w:val="22"/>
        </w:rPr>
        <w:t>vo</w:t>
      </w:r>
      <w:r w:rsidR="009E30C4">
        <w:rPr>
          <w:rFonts w:asciiTheme="minorHAnsi" w:hAnsiTheme="minorHAnsi" w:cstheme="minorHAnsi"/>
          <w:sz w:val="22"/>
          <w:szCs w:val="22"/>
        </w:rPr>
        <w:t> </w:t>
      </w:r>
      <w:r w:rsidRPr="007114EE">
        <w:rPr>
          <w:rFonts w:asciiTheme="minorHAnsi" w:hAnsiTheme="minorHAnsi" w:cstheme="minorHAnsi"/>
          <w:sz w:val="22"/>
          <w:szCs w:val="22"/>
        </w:rPr>
        <w:t xml:space="preserve">výdavkovej časti v sume </w:t>
      </w:r>
      <w:r w:rsidR="003C192D" w:rsidRPr="007114EE">
        <w:rPr>
          <w:rFonts w:asciiTheme="minorHAnsi" w:hAnsiTheme="minorHAnsi" w:cstheme="minorHAnsi"/>
          <w:b/>
          <w:sz w:val="22"/>
          <w:szCs w:val="22"/>
        </w:rPr>
        <w:t>35 710 134,42 EUR</w:t>
      </w:r>
      <w:r w:rsidR="00F774DB" w:rsidRPr="007114EE">
        <w:rPr>
          <w:rFonts w:asciiTheme="minorHAnsi" w:hAnsiTheme="minorHAnsi" w:cstheme="minorHAnsi"/>
          <w:sz w:val="22"/>
          <w:szCs w:val="22"/>
        </w:rPr>
        <w:t xml:space="preserve"> </w:t>
      </w:r>
      <w:r w:rsidR="00907502" w:rsidRPr="007114EE">
        <w:rPr>
          <w:rFonts w:asciiTheme="minorHAnsi" w:hAnsiTheme="minorHAnsi" w:cstheme="minorHAnsi"/>
          <w:bCs w:val="0"/>
          <w:i/>
          <w:sz w:val="22"/>
          <w:szCs w:val="22"/>
        </w:rPr>
        <w:t>(201</w:t>
      </w:r>
      <w:r w:rsidR="000B284B">
        <w:rPr>
          <w:rFonts w:asciiTheme="minorHAnsi" w:hAnsiTheme="minorHAnsi" w:cstheme="minorHAnsi"/>
          <w:bCs w:val="0"/>
          <w:i/>
          <w:sz w:val="22"/>
          <w:szCs w:val="22"/>
        </w:rPr>
        <w:t>9</w:t>
      </w:r>
      <w:r w:rsidR="00FB6C14" w:rsidRPr="007114EE">
        <w:rPr>
          <w:rFonts w:asciiTheme="minorHAnsi" w:hAnsiTheme="minorHAnsi" w:cstheme="minorHAnsi"/>
          <w:bCs w:val="0"/>
          <w:i/>
          <w:sz w:val="22"/>
          <w:szCs w:val="22"/>
        </w:rPr>
        <w:t xml:space="preserve"> = </w:t>
      </w:r>
      <w:r w:rsidR="003C192D" w:rsidRPr="002D49BE">
        <w:rPr>
          <w:rFonts w:asciiTheme="minorHAnsi" w:hAnsiTheme="minorHAnsi" w:cstheme="minorHAnsi"/>
          <w:i/>
          <w:sz w:val="22"/>
          <w:szCs w:val="22"/>
        </w:rPr>
        <w:t>35 673 096,11 EUR</w:t>
      </w:r>
      <w:r w:rsidR="00FB4821" w:rsidRPr="007114EE">
        <w:rPr>
          <w:rFonts w:asciiTheme="minorHAnsi" w:hAnsiTheme="minorHAnsi" w:cstheme="minorHAnsi"/>
          <w:bCs w:val="0"/>
          <w:i/>
          <w:sz w:val="22"/>
          <w:szCs w:val="22"/>
        </w:rPr>
        <w:t>)</w:t>
      </w:r>
      <w:r w:rsidRPr="007114EE">
        <w:rPr>
          <w:rFonts w:asciiTheme="minorHAnsi" w:hAnsiTheme="minorHAnsi" w:cstheme="minorHAnsi"/>
          <w:i/>
          <w:sz w:val="22"/>
          <w:szCs w:val="22"/>
        </w:rPr>
        <w:t>.</w:t>
      </w:r>
      <w:r w:rsidRPr="007114EE">
        <w:rPr>
          <w:rFonts w:asciiTheme="minorHAnsi" w:hAnsiTheme="minorHAnsi" w:cstheme="minorHAnsi"/>
          <w:sz w:val="22"/>
          <w:szCs w:val="22"/>
        </w:rPr>
        <w:t xml:space="preserve"> </w:t>
      </w:r>
      <w:r w:rsidR="00BE6AE5" w:rsidRPr="007114EE">
        <w:rPr>
          <w:rFonts w:asciiTheme="minorHAnsi" w:hAnsiTheme="minorHAnsi" w:cstheme="minorHAnsi"/>
          <w:sz w:val="22"/>
          <w:szCs w:val="22"/>
        </w:rPr>
        <w:t>Schodok kapitálového rozpočtu bol krytý čiastočne prebytkom bežného rozpočtu a</w:t>
      </w:r>
      <w:r w:rsidR="006222CE" w:rsidRPr="007114EE">
        <w:rPr>
          <w:rFonts w:asciiTheme="minorHAnsi" w:hAnsiTheme="minorHAnsi" w:cstheme="minorHAnsi"/>
          <w:sz w:val="22"/>
          <w:szCs w:val="22"/>
        </w:rPr>
        <w:t xml:space="preserve"> prebytkom </w:t>
      </w:r>
      <w:r w:rsidR="00BE6AE5" w:rsidRPr="007114EE">
        <w:rPr>
          <w:rFonts w:asciiTheme="minorHAnsi" w:hAnsiTheme="minorHAnsi" w:cstheme="minorHAnsi"/>
          <w:sz w:val="22"/>
          <w:szCs w:val="22"/>
        </w:rPr>
        <w:t>rozpočt</w:t>
      </w:r>
      <w:r w:rsidR="006222CE" w:rsidRPr="007114EE">
        <w:rPr>
          <w:rFonts w:asciiTheme="minorHAnsi" w:hAnsiTheme="minorHAnsi" w:cstheme="minorHAnsi"/>
          <w:sz w:val="22"/>
          <w:szCs w:val="22"/>
        </w:rPr>
        <w:t>u</w:t>
      </w:r>
      <w:r w:rsidR="00BE6AE5" w:rsidRPr="007114EE">
        <w:rPr>
          <w:rFonts w:asciiTheme="minorHAnsi" w:hAnsiTheme="minorHAnsi" w:cstheme="minorHAnsi"/>
          <w:sz w:val="22"/>
          <w:szCs w:val="22"/>
        </w:rPr>
        <w:t xml:space="preserve"> </w:t>
      </w:r>
      <w:r w:rsidRPr="007114EE">
        <w:rPr>
          <w:rFonts w:asciiTheme="minorHAnsi" w:hAnsiTheme="minorHAnsi" w:cstheme="minorHAnsi"/>
          <w:sz w:val="22"/>
          <w:szCs w:val="22"/>
        </w:rPr>
        <w:t>finančných operácií</w:t>
      </w:r>
      <w:r w:rsidR="00F774DB" w:rsidRPr="007114EE">
        <w:rPr>
          <w:rFonts w:asciiTheme="minorHAnsi" w:hAnsiTheme="minorHAnsi" w:cstheme="minorHAnsi"/>
          <w:sz w:val="22"/>
          <w:szCs w:val="22"/>
        </w:rPr>
        <w:t xml:space="preserve">, </w:t>
      </w:r>
      <w:r w:rsidR="00E46161" w:rsidRPr="007114EE">
        <w:rPr>
          <w:rFonts w:asciiTheme="minorHAnsi" w:hAnsiTheme="minorHAnsi" w:cstheme="minorHAnsi"/>
          <w:sz w:val="22"/>
          <w:szCs w:val="22"/>
        </w:rPr>
        <w:t xml:space="preserve">čím bola </w:t>
      </w:r>
      <w:r w:rsidRPr="007114EE">
        <w:rPr>
          <w:rFonts w:asciiTheme="minorHAnsi" w:hAnsiTheme="minorHAnsi" w:cstheme="minorHAnsi"/>
          <w:sz w:val="22"/>
          <w:szCs w:val="22"/>
        </w:rPr>
        <w:t>zabezpeč</w:t>
      </w:r>
      <w:r w:rsidR="00E46161" w:rsidRPr="007114EE">
        <w:rPr>
          <w:rFonts w:asciiTheme="minorHAnsi" w:hAnsiTheme="minorHAnsi" w:cstheme="minorHAnsi"/>
          <w:sz w:val="22"/>
          <w:szCs w:val="22"/>
        </w:rPr>
        <w:t>ená</w:t>
      </w:r>
      <w:r w:rsidRPr="007114EE">
        <w:rPr>
          <w:rFonts w:asciiTheme="minorHAnsi" w:hAnsiTheme="minorHAnsi" w:cstheme="minorHAnsi"/>
          <w:sz w:val="22"/>
          <w:szCs w:val="22"/>
        </w:rPr>
        <w:t xml:space="preserve">  vyrovnanosť</w:t>
      </w:r>
      <w:r w:rsidR="00910EE0" w:rsidRPr="007114EE">
        <w:rPr>
          <w:rFonts w:asciiTheme="minorHAnsi" w:hAnsiTheme="minorHAnsi" w:cstheme="minorHAnsi"/>
          <w:sz w:val="22"/>
          <w:szCs w:val="22"/>
        </w:rPr>
        <w:t xml:space="preserve"> rozpočtu BSK</w:t>
      </w:r>
      <w:r w:rsidRPr="007114EE">
        <w:rPr>
          <w:rFonts w:asciiTheme="minorHAnsi" w:hAnsiTheme="minorHAnsi" w:cstheme="minorHAnsi"/>
          <w:sz w:val="22"/>
          <w:szCs w:val="22"/>
        </w:rPr>
        <w:t xml:space="preserve">, keď do rozpočtu boli zahrnuté príjmové finančné operácie v sume </w:t>
      </w:r>
      <w:r w:rsidR="000A5796" w:rsidRPr="007114EE">
        <w:rPr>
          <w:rFonts w:asciiTheme="minorHAnsi" w:hAnsiTheme="minorHAnsi" w:cstheme="minorHAnsi"/>
          <w:b/>
          <w:sz w:val="22"/>
          <w:szCs w:val="22"/>
        </w:rPr>
        <w:t>24 313 596,52 EUR</w:t>
      </w:r>
      <w:r w:rsidR="006222CE" w:rsidRPr="007114E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2422E" w:rsidRPr="007114EE">
        <w:rPr>
          <w:rFonts w:asciiTheme="minorHAnsi" w:hAnsiTheme="minorHAnsi" w:cstheme="minorHAnsi"/>
          <w:i/>
          <w:sz w:val="22"/>
          <w:szCs w:val="22"/>
        </w:rPr>
        <w:t>(201</w:t>
      </w:r>
      <w:r w:rsidR="000A5796" w:rsidRPr="007114EE">
        <w:rPr>
          <w:rFonts w:asciiTheme="minorHAnsi" w:hAnsiTheme="minorHAnsi" w:cstheme="minorHAnsi"/>
          <w:i/>
          <w:sz w:val="22"/>
          <w:szCs w:val="22"/>
        </w:rPr>
        <w:t>9</w:t>
      </w:r>
      <w:r w:rsidR="0002422E" w:rsidRPr="007114EE">
        <w:rPr>
          <w:rFonts w:asciiTheme="minorHAnsi" w:hAnsiTheme="minorHAnsi" w:cstheme="minorHAnsi"/>
          <w:i/>
          <w:sz w:val="22"/>
          <w:szCs w:val="22"/>
        </w:rPr>
        <w:t> = </w:t>
      </w:r>
      <w:r w:rsidR="000A5796" w:rsidRPr="002D49BE">
        <w:rPr>
          <w:rFonts w:asciiTheme="minorHAnsi" w:hAnsiTheme="minorHAnsi" w:cstheme="minorHAnsi"/>
          <w:i/>
          <w:sz w:val="22"/>
          <w:szCs w:val="22"/>
        </w:rPr>
        <w:t>17 731 781,94 EUR</w:t>
      </w:r>
      <w:r w:rsidR="0002422E" w:rsidRPr="007114EE">
        <w:rPr>
          <w:rFonts w:asciiTheme="minorHAnsi" w:hAnsiTheme="minorHAnsi" w:cstheme="minorHAnsi"/>
          <w:i/>
          <w:sz w:val="22"/>
          <w:szCs w:val="22"/>
        </w:rPr>
        <w:t>)</w:t>
      </w:r>
      <w:r w:rsidRPr="007114EE">
        <w:rPr>
          <w:rFonts w:asciiTheme="minorHAnsi" w:hAnsiTheme="minorHAnsi" w:cstheme="minorHAnsi"/>
          <w:sz w:val="22"/>
          <w:szCs w:val="22"/>
        </w:rPr>
        <w:t xml:space="preserve"> a výdavkové finančné operácie vo výške </w:t>
      </w:r>
      <w:r w:rsidR="000A5796" w:rsidRPr="007114EE">
        <w:rPr>
          <w:rFonts w:asciiTheme="minorHAnsi" w:hAnsiTheme="minorHAnsi" w:cstheme="minorHAnsi"/>
          <w:b/>
          <w:sz w:val="22"/>
          <w:szCs w:val="22"/>
        </w:rPr>
        <w:t>4 075 168,42 EUR</w:t>
      </w:r>
      <w:r w:rsidR="0002422E" w:rsidRPr="007114EE">
        <w:rPr>
          <w:rFonts w:asciiTheme="minorHAnsi" w:hAnsiTheme="minorHAnsi" w:cstheme="minorHAnsi"/>
          <w:sz w:val="22"/>
          <w:szCs w:val="22"/>
        </w:rPr>
        <w:t xml:space="preserve"> </w:t>
      </w:r>
      <w:r w:rsidR="0002422E" w:rsidRPr="007114EE">
        <w:rPr>
          <w:rFonts w:asciiTheme="minorHAnsi" w:hAnsiTheme="minorHAnsi" w:cstheme="minorHAnsi"/>
          <w:i/>
          <w:sz w:val="22"/>
          <w:szCs w:val="22"/>
        </w:rPr>
        <w:t>(201</w:t>
      </w:r>
      <w:r w:rsidR="000A5796" w:rsidRPr="007114EE">
        <w:rPr>
          <w:rFonts w:asciiTheme="minorHAnsi" w:hAnsiTheme="minorHAnsi" w:cstheme="minorHAnsi"/>
          <w:i/>
          <w:sz w:val="22"/>
          <w:szCs w:val="22"/>
        </w:rPr>
        <w:t>9</w:t>
      </w:r>
      <w:r w:rsidR="0002422E" w:rsidRPr="007114EE">
        <w:rPr>
          <w:rFonts w:asciiTheme="minorHAnsi" w:hAnsiTheme="minorHAnsi" w:cstheme="minorHAnsi"/>
          <w:i/>
          <w:sz w:val="22"/>
          <w:szCs w:val="22"/>
        </w:rPr>
        <w:t> </w:t>
      </w:r>
      <w:r w:rsidR="0002422E" w:rsidRPr="002D49BE">
        <w:rPr>
          <w:rFonts w:asciiTheme="minorHAnsi" w:hAnsiTheme="minorHAnsi" w:cstheme="minorHAnsi"/>
          <w:i/>
          <w:sz w:val="22"/>
          <w:szCs w:val="22"/>
        </w:rPr>
        <w:t>=</w:t>
      </w:r>
      <w:r w:rsidR="00910EE0" w:rsidRPr="002D49B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A5796" w:rsidRPr="002D49BE">
        <w:rPr>
          <w:rFonts w:asciiTheme="minorHAnsi" w:hAnsiTheme="minorHAnsi" w:cstheme="minorHAnsi"/>
          <w:i/>
          <w:sz w:val="22"/>
          <w:szCs w:val="22"/>
        </w:rPr>
        <w:t>3 864 168,42 EUR</w:t>
      </w:r>
      <w:r w:rsidR="0002422E" w:rsidRPr="007114EE">
        <w:rPr>
          <w:rFonts w:asciiTheme="minorHAnsi" w:hAnsiTheme="minorHAnsi" w:cstheme="minorHAnsi"/>
          <w:i/>
          <w:sz w:val="22"/>
          <w:szCs w:val="22"/>
        </w:rPr>
        <w:t>).</w:t>
      </w:r>
    </w:p>
    <w:p w:rsidR="009810D7" w:rsidRPr="007114EE" w:rsidRDefault="00B41FE5" w:rsidP="00B41FE5">
      <w:pPr>
        <w:tabs>
          <w:tab w:val="left" w:pos="5712"/>
        </w:tabs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114EE">
        <w:rPr>
          <w:rFonts w:asciiTheme="minorHAnsi" w:hAnsiTheme="minorHAnsi" w:cstheme="minorHAnsi"/>
          <w:sz w:val="22"/>
          <w:szCs w:val="22"/>
        </w:rPr>
        <w:tab/>
      </w:r>
    </w:p>
    <w:p w:rsidR="009810D7" w:rsidRPr="007114EE" w:rsidRDefault="009810D7" w:rsidP="009810D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114EE">
        <w:rPr>
          <w:rFonts w:asciiTheme="minorHAnsi" w:hAnsiTheme="minorHAnsi" w:cstheme="minorHAnsi"/>
          <w:sz w:val="22"/>
          <w:szCs w:val="22"/>
        </w:rPr>
        <w:t>BSK v roku 20</w:t>
      </w:r>
      <w:r w:rsidR="000A5796" w:rsidRPr="007114EE">
        <w:rPr>
          <w:rFonts w:asciiTheme="minorHAnsi" w:hAnsiTheme="minorHAnsi" w:cstheme="minorHAnsi"/>
          <w:sz w:val="22"/>
          <w:szCs w:val="22"/>
        </w:rPr>
        <w:t>20</w:t>
      </w:r>
      <w:r w:rsidRPr="007114EE">
        <w:rPr>
          <w:rFonts w:asciiTheme="minorHAnsi" w:hAnsiTheme="minorHAnsi" w:cstheme="minorHAnsi"/>
          <w:sz w:val="22"/>
          <w:szCs w:val="22"/>
        </w:rPr>
        <w:t xml:space="preserve"> zostavil svoj rozpočet </w:t>
      </w:r>
      <w:r w:rsidR="00861EC4" w:rsidRPr="007114EE">
        <w:rPr>
          <w:rFonts w:asciiTheme="minorHAnsi" w:hAnsiTheme="minorHAnsi" w:cstheme="minorHAnsi"/>
          <w:sz w:val="22"/>
          <w:szCs w:val="22"/>
        </w:rPr>
        <w:t xml:space="preserve">výdavkov </w:t>
      </w:r>
      <w:r w:rsidR="00581369" w:rsidRPr="007114EE">
        <w:rPr>
          <w:rFonts w:asciiTheme="minorHAnsi" w:hAnsiTheme="minorHAnsi" w:cstheme="minorHAnsi"/>
          <w:sz w:val="22"/>
          <w:szCs w:val="22"/>
        </w:rPr>
        <w:t xml:space="preserve">(kapitálové + bežné bez výdavkových finančných operácií) </w:t>
      </w:r>
      <w:r w:rsidRPr="007114EE">
        <w:rPr>
          <w:rFonts w:asciiTheme="minorHAnsi" w:hAnsiTheme="minorHAnsi" w:cstheme="minorHAnsi"/>
          <w:sz w:val="22"/>
          <w:szCs w:val="22"/>
        </w:rPr>
        <w:t xml:space="preserve">v nasledovnom programovom členení: </w:t>
      </w:r>
    </w:p>
    <w:p w:rsidR="00541E96" w:rsidRPr="007114EE" w:rsidRDefault="00541E96" w:rsidP="009810D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2B341D" w:rsidRPr="00BC170B" w:rsidRDefault="00F633E4" w:rsidP="009810D7">
      <w:pPr>
        <w:jc w:val="both"/>
        <w:rPr>
          <w:rFonts w:asciiTheme="minorHAnsi" w:hAnsiTheme="minorHAnsi" w:cstheme="minorHAnsi"/>
          <w:sz w:val="20"/>
          <w:szCs w:val="20"/>
        </w:rPr>
      </w:pPr>
      <w:r w:rsidRPr="00BC170B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</w:t>
      </w:r>
      <w:r w:rsidR="00BC170B">
        <w:rPr>
          <w:rFonts w:asciiTheme="minorHAnsi" w:hAnsiTheme="minorHAnsi" w:cstheme="minorHAnsi"/>
          <w:sz w:val="20"/>
          <w:szCs w:val="20"/>
        </w:rPr>
        <w:t xml:space="preserve">                  </w:t>
      </w:r>
      <w:r w:rsidRPr="00BC170B">
        <w:rPr>
          <w:rFonts w:asciiTheme="minorHAnsi" w:hAnsiTheme="minorHAnsi" w:cstheme="minorHAnsi"/>
          <w:sz w:val="20"/>
          <w:szCs w:val="20"/>
        </w:rPr>
        <w:t xml:space="preserve">tabuľka č. 1 (v </w:t>
      </w:r>
      <w:r w:rsidR="00EB5730">
        <w:rPr>
          <w:rFonts w:asciiTheme="minorHAnsi" w:hAnsiTheme="minorHAnsi" w:cstheme="minorHAnsi"/>
          <w:sz w:val="20"/>
          <w:szCs w:val="20"/>
        </w:rPr>
        <w:t>EUR</w:t>
      </w:r>
      <w:r w:rsidRPr="00BC170B">
        <w:rPr>
          <w:rFonts w:asciiTheme="minorHAnsi" w:hAnsiTheme="minorHAnsi" w:cstheme="minorHAnsi"/>
          <w:sz w:val="20"/>
          <w:szCs w:val="20"/>
        </w:rPr>
        <w:t>)</w:t>
      </w:r>
    </w:p>
    <w:tbl>
      <w:tblPr>
        <w:tblW w:w="949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426"/>
        <w:gridCol w:w="1386"/>
        <w:gridCol w:w="1276"/>
        <w:gridCol w:w="1276"/>
      </w:tblGrid>
      <w:tr w:rsidR="006D5396" w:rsidRPr="006D5396" w:rsidTr="006D5396">
        <w:trPr>
          <w:trHeight w:val="240"/>
          <w:jc w:val="right"/>
        </w:trPr>
        <w:tc>
          <w:tcPr>
            <w:tcW w:w="1134" w:type="dxa"/>
            <w:shd w:val="clear" w:color="000000" w:fill="9BC2E6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426" w:type="dxa"/>
            <w:shd w:val="clear" w:color="000000" w:fill="9BC2E6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Názov programu</w:t>
            </w:r>
          </w:p>
        </w:tc>
        <w:tc>
          <w:tcPr>
            <w:tcW w:w="1386" w:type="dxa"/>
            <w:shd w:val="clear" w:color="000000" w:fill="9BC2E6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2020</w:t>
            </w:r>
          </w:p>
        </w:tc>
        <w:tc>
          <w:tcPr>
            <w:tcW w:w="1276" w:type="dxa"/>
            <w:shd w:val="clear" w:color="000000" w:fill="9BC2E6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2021</w:t>
            </w:r>
          </w:p>
        </w:tc>
        <w:tc>
          <w:tcPr>
            <w:tcW w:w="1276" w:type="dxa"/>
            <w:shd w:val="clear" w:color="000000" w:fill="9BC2E6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2022</w:t>
            </w:r>
          </w:p>
        </w:tc>
      </w:tr>
      <w:tr w:rsidR="006D5396" w:rsidRPr="006D5396" w:rsidTr="006D5396">
        <w:trPr>
          <w:trHeight w:val="240"/>
          <w:jc w:val="right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1</w:t>
            </w:r>
          </w:p>
        </w:tc>
        <w:tc>
          <w:tcPr>
            <w:tcW w:w="442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Plánovanie, manažment a</w:t>
            </w:r>
            <w:r w:rsidR="007316D0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 </w:t>
            </w: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kontrola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21 283 498,79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26 661 216,60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7 320 828,00</w:t>
            </w:r>
          </w:p>
        </w:tc>
      </w:tr>
      <w:tr w:rsidR="006D5396" w:rsidRPr="006D5396" w:rsidTr="006D5396">
        <w:trPr>
          <w:trHeight w:val="240"/>
          <w:jc w:val="right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2</w:t>
            </w:r>
          </w:p>
        </w:tc>
        <w:tc>
          <w:tcPr>
            <w:tcW w:w="442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Organizácia podujatí a komunikácia s verejnosťou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500 000,00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550 000,00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750 000,00</w:t>
            </w:r>
          </w:p>
        </w:tc>
      </w:tr>
      <w:tr w:rsidR="006D5396" w:rsidRPr="006D5396" w:rsidTr="006D5396">
        <w:trPr>
          <w:trHeight w:val="240"/>
          <w:jc w:val="right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3</w:t>
            </w:r>
          </w:p>
        </w:tc>
        <w:tc>
          <w:tcPr>
            <w:tcW w:w="442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Interné služby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22 148 728,04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15 879 558,94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14 340 419,89</w:t>
            </w:r>
          </w:p>
        </w:tc>
      </w:tr>
      <w:tr w:rsidR="006D5396" w:rsidRPr="006D5396" w:rsidTr="006D5396">
        <w:trPr>
          <w:trHeight w:val="240"/>
          <w:jc w:val="right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4</w:t>
            </w:r>
          </w:p>
        </w:tc>
        <w:tc>
          <w:tcPr>
            <w:tcW w:w="442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Cestovný ruch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946 780,00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1 042 072,00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1 097 072,00</w:t>
            </w:r>
          </w:p>
        </w:tc>
      </w:tr>
      <w:tr w:rsidR="006D5396" w:rsidRPr="006D5396" w:rsidTr="006D5396">
        <w:trPr>
          <w:trHeight w:val="240"/>
          <w:jc w:val="right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lastRenderedPageBreak/>
              <w:t>Program 5</w:t>
            </w:r>
          </w:p>
        </w:tc>
        <w:tc>
          <w:tcPr>
            <w:tcW w:w="442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Starostlivosť o krajinu, prírodné zdroje</w:t>
            </w:r>
            <w:r w:rsidR="000B284B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,</w:t>
            </w: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 xml:space="preserve"> územné plánovanie a prevenciu obyvateľstva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307 900,00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165 000,00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96 000,00</w:t>
            </w:r>
          </w:p>
        </w:tc>
      </w:tr>
      <w:tr w:rsidR="006D5396" w:rsidRPr="006D5396" w:rsidTr="006D5396">
        <w:trPr>
          <w:trHeight w:val="240"/>
          <w:jc w:val="right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6</w:t>
            </w:r>
          </w:p>
        </w:tc>
        <w:tc>
          <w:tcPr>
            <w:tcW w:w="442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Komunikácie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13 915 133,00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13 915 133,00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13 915 133,00</w:t>
            </w:r>
          </w:p>
        </w:tc>
      </w:tr>
      <w:tr w:rsidR="006D5396" w:rsidRPr="006D5396" w:rsidTr="006D5396">
        <w:trPr>
          <w:trHeight w:val="240"/>
          <w:jc w:val="right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7</w:t>
            </w:r>
          </w:p>
        </w:tc>
        <w:tc>
          <w:tcPr>
            <w:tcW w:w="442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Doprava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21 283 000,00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21 742 800,00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22 257 100,00</w:t>
            </w:r>
          </w:p>
        </w:tc>
      </w:tr>
      <w:tr w:rsidR="006D5396" w:rsidRPr="006D5396" w:rsidTr="006D5396">
        <w:trPr>
          <w:trHeight w:val="240"/>
          <w:jc w:val="right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8</w:t>
            </w:r>
          </w:p>
        </w:tc>
        <w:tc>
          <w:tcPr>
            <w:tcW w:w="442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Vzdelávanie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75 603 276,74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78 853 603,00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82 136 192,00</w:t>
            </w:r>
          </w:p>
        </w:tc>
      </w:tr>
      <w:tr w:rsidR="006D5396" w:rsidRPr="006D5396" w:rsidTr="006D5396">
        <w:trPr>
          <w:trHeight w:val="240"/>
          <w:jc w:val="right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9</w:t>
            </w:r>
          </w:p>
        </w:tc>
        <w:tc>
          <w:tcPr>
            <w:tcW w:w="442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Šport a mládežnícke aktivity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461 000,00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316 000,00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316 000,00</w:t>
            </w:r>
          </w:p>
        </w:tc>
      </w:tr>
      <w:tr w:rsidR="006D5396" w:rsidRPr="006D5396" w:rsidTr="006D5396">
        <w:trPr>
          <w:trHeight w:val="240"/>
          <w:jc w:val="right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10</w:t>
            </w:r>
          </w:p>
        </w:tc>
        <w:tc>
          <w:tcPr>
            <w:tcW w:w="442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Kultúra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4 779 435,00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5 506 893,00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5 994 975,00</w:t>
            </w:r>
          </w:p>
        </w:tc>
      </w:tr>
      <w:tr w:rsidR="006D5396" w:rsidRPr="006D5396" w:rsidTr="006D5396">
        <w:trPr>
          <w:trHeight w:val="240"/>
          <w:jc w:val="right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11</w:t>
            </w:r>
          </w:p>
        </w:tc>
        <w:tc>
          <w:tcPr>
            <w:tcW w:w="442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Sociálne zabezpečenie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33 366 915,38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32 990 290,78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33 084 474,17</w:t>
            </w:r>
          </w:p>
        </w:tc>
      </w:tr>
      <w:tr w:rsidR="006D5396" w:rsidRPr="006D5396" w:rsidTr="006D5396">
        <w:trPr>
          <w:trHeight w:val="240"/>
          <w:jc w:val="right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12</w:t>
            </w:r>
          </w:p>
        </w:tc>
        <w:tc>
          <w:tcPr>
            <w:tcW w:w="442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Zdravotníctvo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620 400,00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620 400,00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620 400,00</w:t>
            </w:r>
          </w:p>
        </w:tc>
      </w:tr>
      <w:tr w:rsidR="006D5396" w:rsidRPr="006D5396" w:rsidTr="006D5396">
        <w:trPr>
          <w:trHeight w:val="240"/>
          <w:jc w:val="right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13</w:t>
            </w:r>
          </w:p>
        </w:tc>
        <w:tc>
          <w:tcPr>
            <w:tcW w:w="442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Administratíva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9 416 800,00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9 415 000,00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9 415 200,00</w:t>
            </w:r>
          </w:p>
        </w:tc>
      </w:tr>
      <w:tr w:rsidR="006D5396" w:rsidRPr="006D5396" w:rsidTr="006D5396">
        <w:trPr>
          <w:trHeight w:val="240"/>
          <w:jc w:val="right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14</w:t>
            </w:r>
          </w:p>
        </w:tc>
        <w:tc>
          <w:tcPr>
            <w:tcW w:w="442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Strategická podpora verejného života a regiónu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2 000 000,00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1 500 000,00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1 500 000,00</w:t>
            </w:r>
          </w:p>
        </w:tc>
      </w:tr>
      <w:tr w:rsidR="006D5396" w:rsidRPr="006D5396" w:rsidTr="006D5396">
        <w:trPr>
          <w:trHeight w:val="240"/>
          <w:jc w:val="right"/>
        </w:trPr>
        <w:tc>
          <w:tcPr>
            <w:tcW w:w="1134" w:type="dxa"/>
            <w:shd w:val="clear" w:color="000000" w:fill="9BC2E6"/>
            <w:noWrap/>
            <w:vAlign w:val="bottom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426" w:type="dxa"/>
            <w:shd w:val="clear" w:color="000000" w:fill="9BC2E6"/>
            <w:noWrap/>
            <w:vAlign w:val="bottom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celkom kapitálové a bežné výdavky</w:t>
            </w:r>
          </w:p>
        </w:tc>
        <w:tc>
          <w:tcPr>
            <w:tcW w:w="1386" w:type="dxa"/>
            <w:shd w:val="clear" w:color="000000" w:fill="9BC2E6"/>
            <w:noWrap/>
            <w:vAlign w:val="bottom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206 632 866,95</w:t>
            </w:r>
          </w:p>
        </w:tc>
        <w:tc>
          <w:tcPr>
            <w:tcW w:w="1276" w:type="dxa"/>
            <w:shd w:val="clear" w:color="000000" w:fill="9BC2E6"/>
            <w:noWrap/>
            <w:vAlign w:val="bottom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209 157 967,32</w:t>
            </w:r>
          </w:p>
        </w:tc>
        <w:tc>
          <w:tcPr>
            <w:tcW w:w="1276" w:type="dxa"/>
            <w:shd w:val="clear" w:color="000000" w:fill="9BC2E6"/>
            <w:noWrap/>
            <w:vAlign w:val="bottom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192 843 794,06</w:t>
            </w:r>
          </w:p>
        </w:tc>
      </w:tr>
      <w:tr w:rsidR="006D5396" w:rsidRPr="006D5396" w:rsidTr="006D5396">
        <w:trPr>
          <w:trHeight w:val="240"/>
          <w:jc w:val="right"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426" w:type="dxa"/>
            <w:shd w:val="clear" w:color="auto" w:fill="auto"/>
            <w:noWrap/>
            <w:vAlign w:val="bottom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Výdavkové f</w:t>
            </w:r>
            <w:r w:rsidR="000B284B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i</w:t>
            </w: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nančné operácie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4 075 168,42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4 709 168,00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5 109 168,00</w:t>
            </w:r>
          </w:p>
        </w:tc>
      </w:tr>
      <w:tr w:rsidR="006D5396" w:rsidRPr="006D5396" w:rsidTr="006D5396">
        <w:trPr>
          <w:trHeight w:val="240"/>
          <w:jc w:val="right"/>
        </w:trPr>
        <w:tc>
          <w:tcPr>
            <w:tcW w:w="1134" w:type="dxa"/>
            <w:shd w:val="clear" w:color="000000" w:fill="9BC2E6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/>
                <w:color w:val="FF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/>
                <w:color w:val="FF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426" w:type="dxa"/>
            <w:shd w:val="clear" w:color="000000" w:fill="9BC2E6"/>
            <w:noWrap/>
            <w:vAlign w:val="center"/>
            <w:hideMark/>
          </w:tcPr>
          <w:p w:rsidR="006D5396" w:rsidRPr="006D5396" w:rsidRDefault="006D5396" w:rsidP="006D5396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celkom s výdavkovými finančnými operáciami</w:t>
            </w:r>
          </w:p>
        </w:tc>
        <w:tc>
          <w:tcPr>
            <w:tcW w:w="1386" w:type="dxa"/>
            <w:shd w:val="clear" w:color="000000" w:fill="9BC2E6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210 708 035,37</w:t>
            </w:r>
          </w:p>
        </w:tc>
        <w:tc>
          <w:tcPr>
            <w:tcW w:w="1276" w:type="dxa"/>
            <w:shd w:val="clear" w:color="000000" w:fill="9BC2E6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213 867 135,32</w:t>
            </w:r>
          </w:p>
        </w:tc>
        <w:tc>
          <w:tcPr>
            <w:tcW w:w="1276" w:type="dxa"/>
            <w:shd w:val="clear" w:color="000000" w:fill="9BC2E6"/>
            <w:noWrap/>
            <w:vAlign w:val="center"/>
            <w:hideMark/>
          </w:tcPr>
          <w:p w:rsidR="006D5396" w:rsidRPr="006D5396" w:rsidRDefault="006D5396" w:rsidP="006D5396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6D539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197 952 962,06</w:t>
            </w:r>
          </w:p>
        </w:tc>
      </w:tr>
    </w:tbl>
    <w:p w:rsidR="002B341D" w:rsidRPr="00D121D9" w:rsidRDefault="002B341D" w:rsidP="009810D7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866E3F" w:rsidRPr="007114EE" w:rsidRDefault="00866E3F" w:rsidP="009810D7">
      <w:pPr>
        <w:jc w:val="both"/>
        <w:rPr>
          <w:rFonts w:asciiTheme="minorHAnsi" w:hAnsiTheme="minorHAnsi" w:cstheme="minorHAnsi"/>
          <w:sz w:val="22"/>
          <w:szCs w:val="22"/>
        </w:rPr>
      </w:pPr>
      <w:r w:rsidRPr="00D121D9">
        <w:rPr>
          <w:rFonts w:asciiTheme="minorHAnsi" w:hAnsiTheme="minorHAnsi" w:cstheme="minorHAnsi"/>
          <w:color w:val="FF0000"/>
          <w:sz w:val="22"/>
          <w:szCs w:val="22"/>
        </w:rPr>
        <w:tab/>
      </w:r>
      <w:r w:rsidRPr="007114EE">
        <w:rPr>
          <w:rFonts w:asciiTheme="minorHAnsi" w:hAnsiTheme="minorHAnsi" w:cstheme="minorHAnsi"/>
          <w:sz w:val="22"/>
          <w:szCs w:val="22"/>
        </w:rPr>
        <w:t xml:space="preserve">Stanovisko hlavného kontrolóra k návrhu rozpočtu BSK na roky 2020 až 2022 bolo súčasťou materiálu schváleného Uznesením Zastupiteľstva BSK č. 226/2019 z 13. 12. 2019, ktorým bol schválený rozpočet BSK na rok 2020.  </w:t>
      </w:r>
    </w:p>
    <w:tbl>
      <w:tblPr>
        <w:tblW w:w="51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2128"/>
      </w:tblGrid>
      <w:tr w:rsidR="00207E4C" w:rsidRPr="006D5396" w:rsidTr="00207E4C">
        <w:trPr>
          <w:trHeight w:val="449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E4C" w:rsidRPr="006D5396" w:rsidRDefault="009810D7" w:rsidP="00485243">
            <w:pPr>
              <w:rPr>
                <w:rFonts w:asciiTheme="minorHAnsi" w:hAnsiTheme="minorHAnsi" w:cstheme="minorHAnsi"/>
                <w:bCs w:val="0"/>
                <w:sz w:val="22"/>
                <w:szCs w:val="22"/>
                <w:highlight w:val="yellow"/>
                <w:lang w:eastAsia="sk-SK"/>
              </w:rPr>
            </w:pPr>
            <w:r w:rsidRPr="006D539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1.1  </w:t>
            </w:r>
            <w:r w:rsidRPr="006D5396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  <w:t>Úpravy rozpočtu</w:t>
            </w:r>
          </w:p>
        </w:tc>
        <w:tc>
          <w:tcPr>
            <w:tcW w:w="2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7E4C" w:rsidRPr="006D5396" w:rsidRDefault="00207E4C" w:rsidP="00207E4C">
            <w:pPr>
              <w:rPr>
                <w:rFonts w:asciiTheme="minorHAnsi" w:hAnsiTheme="minorHAnsi" w:cstheme="minorHAnsi"/>
                <w:bCs w:val="0"/>
                <w:sz w:val="22"/>
                <w:szCs w:val="22"/>
                <w:highlight w:val="yellow"/>
                <w:lang w:eastAsia="sk-SK"/>
              </w:rPr>
            </w:pPr>
          </w:p>
        </w:tc>
      </w:tr>
    </w:tbl>
    <w:p w:rsidR="00207E4C" w:rsidRPr="006D5396" w:rsidRDefault="00207E4C" w:rsidP="009810D7">
      <w:pPr>
        <w:ind w:firstLine="708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917289" w:rsidRPr="006D5396" w:rsidRDefault="00917289" w:rsidP="00917289">
      <w:pPr>
        <w:spacing w:after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6D5396">
        <w:rPr>
          <w:rFonts w:asciiTheme="minorHAnsi" w:hAnsiTheme="minorHAnsi" w:cstheme="minorHAnsi"/>
          <w:sz w:val="22"/>
          <w:szCs w:val="22"/>
        </w:rPr>
        <w:t>V</w:t>
      </w:r>
      <w:r w:rsidR="00A034D9" w:rsidRPr="006D5396">
        <w:rPr>
          <w:rFonts w:asciiTheme="minorHAnsi" w:hAnsiTheme="minorHAnsi" w:cstheme="minorHAnsi"/>
          <w:sz w:val="22"/>
          <w:szCs w:val="22"/>
        </w:rPr>
        <w:t xml:space="preserve"> priebehu roka 2020 </w:t>
      </w:r>
      <w:r w:rsidR="006E0965" w:rsidRPr="006D5396">
        <w:rPr>
          <w:rFonts w:asciiTheme="minorHAnsi" w:hAnsiTheme="minorHAnsi" w:cstheme="minorHAnsi"/>
          <w:sz w:val="22"/>
          <w:szCs w:val="22"/>
        </w:rPr>
        <w:t>bol</w:t>
      </w:r>
      <w:r w:rsidR="006B727A" w:rsidRPr="006D5396">
        <w:rPr>
          <w:rFonts w:asciiTheme="minorHAnsi" w:hAnsiTheme="minorHAnsi" w:cstheme="minorHAnsi"/>
          <w:sz w:val="22"/>
          <w:szCs w:val="22"/>
        </w:rPr>
        <w:t>i</w:t>
      </w:r>
      <w:r w:rsidR="006E0965" w:rsidRPr="006D5396">
        <w:rPr>
          <w:rFonts w:asciiTheme="minorHAnsi" w:hAnsiTheme="minorHAnsi" w:cstheme="minorHAnsi"/>
          <w:sz w:val="22"/>
          <w:szCs w:val="22"/>
        </w:rPr>
        <w:t xml:space="preserve"> realizovan</w:t>
      </w:r>
      <w:r w:rsidR="006B727A" w:rsidRPr="006D5396">
        <w:rPr>
          <w:rFonts w:asciiTheme="minorHAnsi" w:hAnsiTheme="minorHAnsi" w:cstheme="minorHAnsi"/>
          <w:sz w:val="22"/>
          <w:szCs w:val="22"/>
        </w:rPr>
        <w:t>é</w:t>
      </w:r>
      <w:r w:rsidR="006E0965" w:rsidRPr="006D5396">
        <w:rPr>
          <w:rFonts w:asciiTheme="minorHAnsi" w:hAnsiTheme="minorHAnsi" w:cstheme="minorHAnsi"/>
          <w:sz w:val="22"/>
          <w:szCs w:val="22"/>
        </w:rPr>
        <w:t xml:space="preserve"> zmen</w:t>
      </w:r>
      <w:r w:rsidR="006B727A" w:rsidRPr="006D5396">
        <w:rPr>
          <w:rFonts w:asciiTheme="minorHAnsi" w:hAnsiTheme="minorHAnsi" w:cstheme="minorHAnsi"/>
          <w:sz w:val="22"/>
          <w:szCs w:val="22"/>
        </w:rPr>
        <w:t>y</w:t>
      </w:r>
      <w:r w:rsidR="006E0965" w:rsidRPr="006D5396">
        <w:rPr>
          <w:rFonts w:asciiTheme="minorHAnsi" w:hAnsiTheme="minorHAnsi" w:cstheme="minorHAnsi"/>
          <w:sz w:val="22"/>
          <w:szCs w:val="22"/>
        </w:rPr>
        <w:t xml:space="preserve"> rozpočtu vo </w:t>
      </w:r>
      <w:r w:rsidRPr="006D5396">
        <w:rPr>
          <w:rFonts w:asciiTheme="minorHAnsi" w:hAnsiTheme="minorHAnsi" w:cstheme="minorHAnsi"/>
          <w:sz w:val="22"/>
          <w:szCs w:val="22"/>
        </w:rPr>
        <w:t>viacerých rozpočtovaných príjmových a</w:t>
      </w:r>
      <w:r w:rsidR="00D70045" w:rsidRPr="006D5396">
        <w:rPr>
          <w:rFonts w:asciiTheme="minorHAnsi" w:hAnsiTheme="minorHAnsi" w:cstheme="minorHAnsi"/>
          <w:sz w:val="22"/>
          <w:szCs w:val="22"/>
        </w:rPr>
        <w:t> </w:t>
      </w:r>
      <w:r w:rsidRPr="006D5396">
        <w:rPr>
          <w:rFonts w:asciiTheme="minorHAnsi" w:hAnsiTheme="minorHAnsi" w:cstheme="minorHAnsi"/>
          <w:sz w:val="22"/>
          <w:szCs w:val="22"/>
        </w:rPr>
        <w:t>výdavkových polož</w:t>
      </w:r>
      <w:r w:rsidR="006B727A" w:rsidRPr="006D5396">
        <w:rPr>
          <w:rFonts w:asciiTheme="minorHAnsi" w:hAnsiTheme="minorHAnsi" w:cstheme="minorHAnsi"/>
          <w:sz w:val="22"/>
          <w:szCs w:val="22"/>
        </w:rPr>
        <w:t>kách</w:t>
      </w:r>
      <w:r w:rsidRPr="006D5396">
        <w:rPr>
          <w:rFonts w:asciiTheme="minorHAnsi" w:hAnsiTheme="minorHAnsi" w:cstheme="minorHAnsi"/>
          <w:sz w:val="22"/>
          <w:szCs w:val="22"/>
        </w:rPr>
        <w:t xml:space="preserve">. </w:t>
      </w:r>
      <w:r w:rsidR="006E0965" w:rsidRPr="006D5396">
        <w:rPr>
          <w:rFonts w:asciiTheme="minorHAnsi" w:hAnsiTheme="minorHAnsi" w:cstheme="minorHAnsi"/>
          <w:sz w:val="22"/>
          <w:szCs w:val="22"/>
        </w:rPr>
        <w:t>Ú</w:t>
      </w:r>
      <w:r w:rsidRPr="006D5396">
        <w:rPr>
          <w:rFonts w:asciiTheme="minorHAnsi" w:hAnsiTheme="minorHAnsi" w:cstheme="minorHAnsi"/>
          <w:sz w:val="22"/>
          <w:szCs w:val="22"/>
        </w:rPr>
        <w:t xml:space="preserve">pravy sa realizovali na základe schválenia zmien rozpočtu </w:t>
      </w:r>
      <w:r w:rsidR="00AB6EAA" w:rsidRPr="006D5396">
        <w:rPr>
          <w:rFonts w:asciiTheme="minorHAnsi" w:hAnsiTheme="minorHAnsi" w:cstheme="minorHAnsi"/>
          <w:sz w:val="22"/>
          <w:szCs w:val="22"/>
        </w:rPr>
        <w:t xml:space="preserve">Uzneseniami </w:t>
      </w:r>
      <w:r w:rsidR="00866E3F" w:rsidRPr="006D5396">
        <w:rPr>
          <w:rFonts w:asciiTheme="minorHAnsi" w:hAnsiTheme="minorHAnsi" w:cstheme="minorHAnsi"/>
          <w:sz w:val="22"/>
          <w:szCs w:val="22"/>
        </w:rPr>
        <w:t>Z</w:t>
      </w:r>
      <w:r w:rsidRPr="006D5396">
        <w:rPr>
          <w:rFonts w:asciiTheme="minorHAnsi" w:hAnsiTheme="minorHAnsi" w:cstheme="minorHAnsi"/>
          <w:sz w:val="22"/>
          <w:szCs w:val="22"/>
        </w:rPr>
        <w:t>astupiteľstv</w:t>
      </w:r>
      <w:r w:rsidR="00AB6EAA" w:rsidRPr="006D5396">
        <w:rPr>
          <w:rFonts w:asciiTheme="minorHAnsi" w:hAnsiTheme="minorHAnsi" w:cstheme="minorHAnsi"/>
          <w:sz w:val="22"/>
          <w:szCs w:val="22"/>
        </w:rPr>
        <w:t>a</w:t>
      </w:r>
      <w:r w:rsidRPr="006D5396">
        <w:rPr>
          <w:rFonts w:asciiTheme="minorHAnsi" w:hAnsiTheme="minorHAnsi" w:cstheme="minorHAnsi"/>
          <w:sz w:val="22"/>
          <w:szCs w:val="22"/>
        </w:rPr>
        <w:t xml:space="preserve"> BSK</w:t>
      </w:r>
      <w:r w:rsidR="00AB6EAA" w:rsidRPr="006D5396">
        <w:rPr>
          <w:rFonts w:asciiTheme="minorHAnsi" w:hAnsiTheme="minorHAnsi" w:cstheme="minorHAnsi"/>
          <w:sz w:val="22"/>
          <w:szCs w:val="22"/>
        </w:rPr>
        <w:t xml:space="preserve"> č. </w:t>
      </w:r>
      <w:r w:rsidR="00866E3F" w:rsidRPr="006D5396">
        <w:rPr>
          <w:rFonts w:asciiTheme="minorHAnsi" w:hAnsiTheme="minorHAnsi" w:cstheme="minorHAnsi"/>
          <w:sz w:val="22"/>
          <w:szCs w:val="22"/>
        </w:rPr>
        <w:t>247</w:t>
      </w:r>
      <w:r w:rsidRPr="006D5396">
        <w:rPr>
          <w:rFonts w:asciiTheme="minorHAnsi" w:hAnsiTheme="minorHAnsi" w:cstheme="minorHAnsi"/>
          <w:sz w:val="22"/>
          <w:szCs w:val="22"/>
        </w:rPr>
        <w:t>/20</w:t>
      </w:r>
      <w:r w:rsidR="00866E3F" w:rsidRPr="006D5396">
        <w:rPr>
          <w:rFonts w:asciiTheme="minorHAnsi" w:hAnsiTheme="minorHAnsi" w:cstheme="minorHAnsi"/>
          <w:sz w:val="22"/>
          <w:szCs w:val="22"/>
        </w:rPr>
        <w:t>20</w:t>
      </w:r>
      <w:r w:rsidRPr="006D5396">
        <w:rPr>
          <w:rFonts w:asciiTheme="minorHAnsi" w:hAnsiTheme="minorHAnsi" w:cstheme="minorHAnsi"/>
          <w:sz w:val="22"/>
          <w:szCs w:val="22"/>
        </w:rPr>
        <w:t xml:space="preserve"> z </w:t>
      </w:r>
      <w:r w:rsidR="00866E3F" w:rsidRPr="006D5396">
        <w:rPr>
          <w:rFonts w:asciiTheme="minorHAnsi" w:hAnsiTheme="minorHAnsi" w:cstheme="minorHAnsi"/>
          <w:sz w:val="22"/>
          <w:szCs w:val="22"/>
        </w:rPr>
        <w:t>29</w:t>
      </w:r>
      <w:r w:rsidRPr="006D5396">
        <w:rPr>
          <w:rFonts w:asciiTheme="minorHAnsi" w:hAnsiTheme="minorHAnsi" w:cstheme="minorHAnsi"/>
          <w:sz w:val="22"/>
          <w:szCs w:val="22"/>
        </w:rPr>
        <w:t>.</w:t>
      </w:r>
      <w:r w:rsidR="00866E3F" w:rsidRPr="006D5396">
        <w:rPr>
          <w:rFonts w:asciiTheme="minorHAnsi" w:hAnsiTheme="minorHAnsi" w:cstheme="minorHAnsi"/>
          <w:sz w:val="22"/>
          <w:szCs w:val="22"/>
        </w:rPr>
        <w:t xml:space="preserve"> </w:t>
      </w:r>
      <w:r w:rsidRPr="006D5396">
        <w:rPr>
          <w:rFonts w:asciiTheme="minorHAnsi" w:hAnsiTheme="minorHAnsi" w:cstheme="minorHAnsi"/>
          <w:sz w:val="22"/>
          <w:szCs w:val="22"/>
        </w:rPr>
        <w:t>0</w:t>
      </w:r>
      <w:r w:rsidR="00866E3F" w:rsidRPr="006D5396">
        <w:rPr>
          <w:rFonts w:asciiTheme="minorHAnsi" w:hAnsiTheme="minorHAnsi" w:cstheme="minorHAnsi"/>
          <w:sz w:val="22"/>
          <w:szCs w:val="22"/>
        </w:rPr>
        <w:t>5</w:t>
      </w:r>
      <w:r w:rsidRPr="006D5396">
        <w:rPr>
          <w:rFonts w:asciiTheme="minorHAnsi" w:hAnsiTheme="minorHAnsi" w:cstheme="minorHAnsi"/>
          <w:sz w:val="22"/>
          <w:szCs w:val="22"/>
        </w:rPr>
        <w:t>.</w:t>
      </w:r>
      <w:r w:rsidR="00866E3F" w:rsidRPr="006D5396">
        <w:rPr>
          <w:rFonts w:asciiTheme="minorHAnsi" w:hAnsiTheme="minorHAnsi" w:cstheme="minorHAnsi"/>
          <w:sz w:val="22"/>
          <w:szCs w:val="22"/>
        </w:rPr>
        <w:t xml:space="preserve"> </w:t>
      </w:r>
      <w:r w:rsidRPr="006D5396">
        <w:rPr>
          <w:rFonts w:asciiTheme="minorHAnsi" w:hAnsiTheme="minorHAnsi" w:cstheme="minorHAnsi"/>
          <w:sz w:val="22"/>
          <w:szCs w:val="22"/>
        </w:rPr>
        <w:t>20</w:t>
      </w:r>
      <w:r w:rsidR="00866E3F" w:rsidRPr="006D5396">
        <w:rPr>
          <w:rFonts w:asciiTheme="minorHAnsi" w:hAnsiTheme="minorHAnsi" w:cstheme="minorHAnsi"/>
          <w:sz w:val="22"/>
          <w:szCs w:val="22"/>
        </w:rPr>
        <w:t>20</w:t>
      </w:r>
      <w:r w:rsidRPr="006D5396">
        <w:rPr>
          <w:rFonts w:asciiTheme="minorHAnsi" w:hAnsiTheme="minorHAnsi" w:cstheme="minorHAnsi"/>
          <w:sz w:val="22"/>
          <w:szCs w:val="22"/>
        </w:rPr>
        <w:t xml:space="preserve">, </w:t>
      </w:r>
      <w:r w:rsidR="00AB6EAA" w:rsidRPr="006D5396">
        <w:rPr>
          <w:rFonts w:asciiTheme="minorHAnsi" w:hAnsiTheme="minorHAnsi" w:cstheme="minorHAnsi"/>
          <w:sz w:val="22"/>
          <w:szCs w:val="22"/>
        </w:rPr>
        <w:t>č. 300/2020 zo 16. 10. 2020 a č. 319/2020 z 18. 12. 2020,</w:t>
      </w:r>
      <w:r w:rsidRPr="006D5396">
        <w:rPr>
          <w:rFonts w:asciiTheme="minorHAnsi" w:hAnsiTheme="minorHAnsi" w:cstheme="minorHAnsi"/>
          <w:sz w:val="22"/>
          <w:szCs w:val="22"/>
        </w:rPr>
        <w:t xml:space="preserve"> ako aj v rámci splnomocnenia predsedu samosprávneho kraja zastupiteľstvom BSK</w:t>
      </w:r>
      <w:r w:rsidR="00AB6EAA" w:rsidRPr="006D5396">
        <w:rPr>
          <w:rFonts w:asciiTheme="minorHAnsi" w:hAnsiTheme="minorHAnsi" w:cstheme="minorHAnsi"/>
          <w:sz w:val="22"/>
          <w:szCs w:val="22"/>
        </w:rPr>
        <w:t xml:space="preserve"> (bod B Uznesenia Zastupiteľstva č. 226/2019 z 13. 12. 2019)</w:t>
      </w:r>
      <w:r w:rsidRPr="006D5396">
        <w:rPr>
          <w:rFonts w:asciiTheme="minorHAnsi" w:hAnsiTheme="minorHAnsi" w:cstheme="minorHAnsi"/>
          <w:sz w:val="22"/>
          <w:szCs w:val="22"/>
        </w:rPr>
        <w:t xml:space="preserve">. </w:t>
      </w:r>
      <w:r w:rsidR="00AB6EAA" w:rsidRPr="006D5396">
        <w:rPr>
          <w:rFonts w:asciiTheme="minorHAnsi" w:hAnsiTheme="minorHAnsi" w:cstheme="minorHAnsi"/>
          <w:sz w:val="22"/>
          <w:szCs w:val="22"/>
        </w:rPr>
        <w:t xml:space="preserve">Kontrolou jednotlivých zmien rozpočtu bolo zistené, že tieto boli vykonávané v súlade so znením uvedeného uznesenia. </w:t>
      </w:r>
      <w:r w:rsidRPr="006D5396">
        <w:rPr>
          <w:rFonts w:asciiTheme="minorHAnsi" w:hAnsiTheme="minorHAnsi" w:cstheme="minorHAnsi"/>
          <w:sz w:val="22"/>
          <w:szCs w:val="22"/>
        </w:rPr>
        <w:t>Okrem toho zmeny rozpočtu zohľadň</w:t>
      </w:r>
      <w:r w:rsidR="006B727A" w:rsidRPr="006D5396">
        <w:rPr>
          <w:rFonts w:asciiTheme="minorHAnsi" w:hAnsiTheme="minorHAnsi" w:cstheme="minorHAnsi"/>
          <w:sz w:val="22"/>
          <w:szCs w:val="22"/>
        </w:rPr>
        <w:t>ovali</w:t>
      </w:r>
      <w:r w:rsidRPr="006D5396">
        <w:rPr>
          <w:rFonts w:asciiTheme="minorHAnsi" w:hAnsiTheme="minorHAnsi" w:cstheme="minorHAnsi"/>
          <w:sz w:val="22"/>
          <w:szCs w:val="22"/>
        </w:rPr>
        <w:t xml:space="preserve"> aj úpravy účelových dotácii zo štátneho rozpočtu, z prostriedkov EÚ</w:t>
      </w:r>
      <w:r w:rsidR="00AB6EAA" w:rsidRPr="006D5396">
        <w:rPr>
          <w:rFonts w:asciiTheme="minorHAnsi" w:hAnsiTheme="minorHAnsi" w:cstheme="minorHAnsi"/>
          <w:sz w:val="22"/>
          <w:szCs w:val="22"/>
        </w:rPr>
        <w:t xml:space="preserve"> a</w:t>
      </w:r>
      <w:r w:rsidRPr="006D5396">
        <w:rPr>
          <w:rFonts w:asciiTheme="minorHAnsi" w:hAnsiTheme="minorHAnsi" w:cstheme="minorHAnsi"/>
          <w:sz w:val="22"/>
          <w:szCs w:val="22"/>
        </w:rPr>
        <w:t xml:space="preserve"> darov, ktoré v zmysle zákona o rozpočtových pravidlách územnej samosprávy zastupiteľstvo BSK neschvaľ</w:t>
      </w:r>
      <w:r w:rsidR="006B727A" w:rsidRPr="006D5396">
        <w:rPr>
          <w:rFonts w:asciiTheme="minorHAnsi" w:hAnsiTheme="minorHAnsi" w:cstheme="minorHAnsi"/>
          <w:sz w:val="22"/>
          <w:szCs w:val="22"/>
        </w:rPr>
        <w:t>ovalo</w:t>
      </w:r>
      <w:r w:rsidRPr="006D5396">
        <w:rPr>
          <w:rFonts w:asciiTheme="minorHAnsi" w:hAnsiTheme="minorHAnsi" w:cstheme="minorHAnsi"/>
          <w:sz w:val="22"/>
          <w:szCs w:val="22"/>
        </w:rPr>
        <w:t>. V rámci úprav jednotlivých položiek rozpočtu BSK v priebehu rozpočtového roka 20</w:t>
      </w:r>
      <w:r w:rsidR="00AB6EAA" w:rsidRPr="006D5396">
        <w:rPr>
          <w:rFonts w:asciiTheme="minorHAnsi" w:hAnsiTheme="minorHAnsi" w:cstheme="minorHAnsi"/>
          <w:sz w:val="22"/>
          <w:szCs w:val="22"/>
        </w:rPr>
        <w:t>20</w:t>
      </w:r>
      <w:r w:rsidRPr="006D5396">
        <w:rPr>
          <w:rFonts w:asciiTheme="minorHAnsi" w:hAnsiTheme="minorHAnsi" w:cstheme="minorHAnsi"/>
          <w:sz w:val="22"/>
          <w:szCs w:val="22"/>
        </w:rPr>
        <w:t xml:space="preserve"> bol rozpočet BSK celkovo </w:t>
      </w:r>
      <w:r w:rsidR="00AB6EAA" w:rsidRPr="006D5396">
        <w:rPr>
          <w:rFonts w:asciiTheme="minorHAnsi" w:hAnsiTheme="minorHAnsi" w:cstheme="minorHAnsi"/>
          <w:sz w:val="22"/>
          <w:szCs w:val="22"/>
        </w:rPr>
        <w:t>znížený</w:t>
      </w:r>
      <w:r w:rsidRPr="006D5396">
        <w:rPr>
          <w:rFonts w:asciiTheme="minorHAnsi" w:hAnsiTheme="minorHAnsi" w:cstheme="minorHAnsi"/>
          <w:sz w:val="22"/>
          <w:szCs w:val="22"/>
        </w:rPr>
        <w:t xml:space="preserve"> a na konci rozpočtového roka 20</w:t>
      </w:r>
      <w:r w:rsidR="00AB6EAA" w:rsidRPr="006D5396">
        <w:rPr>
          <w:rFonts w:asciiTheme="minorHAnsi" w:hAnsiTheme="minorHAnsi" w:cstheme="minorHAnsi"/>
          <w:sz w:val="22"/>
          <w:szCs w:val="22"/>
        </w:rPr>
        <w:t>20</w:t>
      </w:r>
      <w:r w:rsidRPr="006D53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D5396">
        <w:rPr>
          <w:rFonts w:asciiTheme="minorHAnsi" w:hAnsiTheme="minorHAnsi" w:cstheme="minorHAnsi"/>
          <w:sz w:val="22"/>
          <w:szCs w:val="22"/>
        </w:rPr>
        <w:t>dosiahol upravený rozpočet objem</w:t>
      </w:r>
      <w:r w:rsidRPr="006D5396">
        <w:rPr>
          <w:rFonts w:asciiTheme="minorHAnsi" w:hAnsiTheme="minorHAnsi" w:cstheme="minorHAnsi"/>
          <w:sz w:val="22"/>
          <w:szCs w:val="22"/>
          <w:lang w:eastAsia="sk-SK"/>
        </w:rPr>
        <w:t xml:space="preserve"> </w:t>
      </w:r>
      <w:r w:rsidRPr="006D5396">
        <w:rPr>
          <w:rFonts w:asciiTheme="minorHAnsi" w:hAnsiTheme="minorHAnsi" w:cstheme="minorHAnsi"/>
          <w:sz w:val="22"/>
          <w:szCs w:val="22"/>
        </w:rPr>
        <w:t>v príjmovej aj výdavkovej časti</w:t>
      </w:r>
      <w:r w:rsidRPr="006D5396">
        <w:rPr>
          <w:rFonts w:asciiTheme="minorHAnsi" w:hAnsiTheme="minorHAnsi" w:cstheme="minorHAnsi"/>
          <w:b/>
          <w:sz w:val="22"/>
          <w:szCs w:val="22"/>
          <w:lang w:eastAsia="sk-SK"/>
        </w:rPr>
        <w:t xml:space="preserve"> </w:t>
      </w:r>
      <w:r w:rsidRPr="006D5396">
        <w:rPr>
          <w:rFonts w:asciiTheme="minorHAnsi" w:hAnsiTheme="minorHAnsi" w:cstheme="minorHAnsi"/>
          <w:b/>
          <w:sz w:val="22"/>
          <w:szCs w:val="22"/>
        </w:rPr>
        <w:t>2</w:t>
      </w:r>
      <w:r w:rsidR="00AB6EAA" w:rsidRPr="006D5396">
        <w:rPr>
          <w:rFonts w:asciiTheme="minorHAnsi" w:hAnsiTheme="minorHAnsi" w:cstheme="minorHAnsi"/>
          <w:b/>
          <w:sz w:val="22"/>
          <w:szCs w:val="22"/>
        </w:rPr>
        <w:t>10 320 242,02 EUR</w:t>
      </w:r>
      <w:r w:rsidRPr="006D5396">
        <w:rPr>
          <w:rFonts w:asciiTheme="minorHAnsi" w:hAnsiTheme="minorHAnsi" w:cstheme="minorHAnsi"/>
          <w:sz w:val="22"/>
          <w:szCs w:val="22"/>
        </w:rPr>
        <w:t>.</w:t>
      </w:r>
    </w:p>
    <w:p w:rsidR="00FD47C4" w:rsidRPr="000456AE" w:rsidRDefault="001843C4" w:rsidP="001843C4">
      <w:pPr>
        <w:pStyle w:val="Zarkazkladnhotextu"/>
        <w:rPr>
          <w:rFonts w:asciiTheme="minorHAnsi" w:hAnsiTheme="minorHAnsi" w:cstheme="minorHAnsi"/>
          <w:sz w:val="22"/>
          <w:szCs w:val="22"/>
        </w:rPr>
      </w:pPr>
      <w:r w:rsidRPr="000456AE">
        <w:rPr>
          <w:rFonts w:asciiTheme="minorHAnsi" w:hAnsiTheme="minorHAnsi" w:cstheme="minorHAnsi"/>
          <w:sz w:val="22"/>
          <w:szCs w:val="22"/>
        </w:rPr>
        <w:t>Evidenciu o vykonaných úpravách</w:t>
      </w:r>
      <w:r w:rsidR="00EE0403" w:rsidRPr="000456AE">
        <w:rPr>
          <w:rFonts w:asciiTheme="minorHAnsi" w:hAnsiTheme="minorHAnsi" w:cstheme="minorHAnsi"/>
          <w:sz w:val="22"/>
          <w:szCs w:val="22"/>
        </w:rPr>
        <w:t xml:space="preserve"> (zmenách) </w:t>
      </w:r>
      <w:r w:rsidRPr="000456AE">
        <w:rPr>
          <w:rFonts w:asciiTheme="minorHAnsi" w:hAnsiTheme="minorHAnsi" w:cstheme="minorHAnsi"/>
          <w:sz w:val="22"/>
          <w:szCs w:val="22"/>
        </w:rPr>
        <w:t xml:space="preserve"> jednotlivých položiek schváleného rozpočtu, ktorými sa rozpočet BSK v priebehu roka 20</w:t>
      </w:r>
      <w:r w:rsidR="00581369" w:rsidRPr="000456AE">
        <w:rPr>
          <w:rFonts w:asciiTheme="minorHAnsi" w:hAnsiTheme="minorHAnsi" w:cstheme="minorHAnsi"/>
          <w:sz w:val="22"/>
          <w:szCs w:val="22"/>
        </w:rPr>
        <w:t>20</w:t>
      </w:r>
      <w:r w:rsidR="00173332" w:rsidRPr="000456AE">
        <w:rPr>
          <w:rFonts w:asciiTheme="minorHAnsi" w:hAnsiTheme="minorHAnsi" w:cstheme="minorHAnsi"/>
          <w:sz w:val="22"/>
          <w:szCs w:val="22"/>
        </w:rPr>
        <w:t xml:space="preserve"> menil</w:t>
      </w:r>
      <w:r w:rsidR="00D72298" w:rsidRPr="000456AE">
        <w:rPr>
          <w:rFonts w:asciiTheme="minorHAnsi" w:hAnsiTheme="minorHAnsi" w:cstheme="minorHAnsi"/>
          <w:sz w:val="22"/>
          <w:szCs w:val="22"/>
        </w:rPr>
        <w:t>,</w:t>
      </w:r>
      <w:r w:rsidR="00173332" w:rsidRPr="000456AE">
        <w:rPr>
          <w:rFonts w:asciiTheme="minorHAnsi" w:hAnsiTheme="minorHAnsi" w:cstheme="minorHAnsi"/>
          <w:sz w:val="22"/>
          <w:szCs w:val="22"/>
        </w:rPr>
        <w:t xml:space="preserve"> </w:t>
      </w:r>
      <w:r w:rsidRPr="000456AE">
        <w:rPr>
          <w:rFonts w:asciiTheme="minorHAnsi" w:hAnsiTheme="minorHAnsi" w:cstheme="minorHAnsi"/>
          <w:sz w:val="22"/>
          <w:szCs w:val="22"/>
        </w:rPr>
        <w:t>viedol</w:t>
      </w:r>
      <w:r w:rsidR="00173332" w:rsidRPr="000456AE">
        <w:rPr>
          <w:rFonts w:asciiTheme="minorHAnsi" w:hAnsiTheme="minorHAnsi" w:cstheme="minorHAnsi"/>
          <w:sz w:val="22"/>
          <w:szCs w:val="22"/>
        </w:rPr>
        <w:t xml:space="preserve"> priebežne</w:t>
      </w:r>
      <w:r w:rsidRPr="000456AE">
        <w:rPr>
          <w:rFonts w:asciiTheme="minorHAnsi" w:hAnsiTheme="minorHAnsi" w:cstheme="minorHAnsi"/>
          <w:sz w:val="22"/>
          <w:szCs w:val="22"/>
        </w:rPr>
        <w:t xml:space="preserve"> odbor financií BSK.  </w:t>
      </w:r>
    </w:p>
    <w:p w:rsidR="003D4F3E" w:rsidRPr="000456AE" w:rsidRDefault="003D4F3E" w:rsidP="009810D7">
      <w:pPr>
        <w:pStyle w:val="Zarkazkladnhotextu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9810D7" w:rsidRPr="000456AE" w:rsidRDefault="009810D7" w:rsidP="009810D7">
      <w:pPr>
        <w:pStyle w:val="Zarkazkladnhotextu"/>
        <w:rPr>
          <w:rFonts w:asciiTheme="minorHAnsi" w:hAnsiTheme="minorHAnsi" w:cstheme="minorHAnsi"/>
          <w:sz w:val="22"/>
          <w:szCs w:val="22"/>
        </w:rPr>
      </w:pPr>
      <w:r w:rsidRPr="000456AE">
        <w:rPr>
          <w:rFonts w:asciiTheme="minorHAnsi" w:hAnsiTheme="minorHAnsi" w:cstheme="minorHAnsi"/>
          <w:sz w:val="22"/>
          <w:szCs w:val="22"/>
        </w:rPr>
        <w:t xml:space="preserve">Po </w:t>
      </w:r>
      <w:r w:rsidR="00E57E3B" w:rsidRPr="000456AE">
        <w:rPr>
          <w:rFonts w:asciiTheme="minorHAnsi" w:hAnsiTheme="minorHAnsi" w:cstheme="minorHAnsi"/>
          <w:sz w:val="22"/>
          <w:szCs w:val="22"/>
        </w:rPr>
        <w:t>vykonaných</w:t>
      </w:r>
      <w:r w:rsidRPr="000456AE">
        <w:rPr>
          <w:rFonts w:asciiTheme="minorHAnsi" w:hAnsiTheme="minorHAnsi" w:cstheme="minorHAnsi"/>
          <w:sz w:val="22"/>
          <w:szCs w:val="22"/>
        </w:rPr>
        <w:t xml:space="preserve"> </w:t>
      </w:r>
      <w:r w:rsidR="00E57E3B" w:rsidRPr="000456AE">
        <w:rPr>
          <w:rFonts w:asciiTheme="minorHAnsi" w:hAnsiTheme="minorHAnsi" w:cstheme="minorHAnsi"/>
          <w:sz w:val="22"/>
          <w:szCs w:val="22"/>
        </w:rPr>
        <w:t xml:space="preserve">úpravách </w:t>
      </w:r>
      <w:r w:rsidRPr="000456AE">
        <w:rPr>
          <w:rFonts w:asciiTheme="minorHAnsi" w:hAnsiTheme="minorHAnsi" w:cstheme="minorHAnsi"/>
          <w:sz w:val="22"/>
          <w:szCs w:val="22"/>
        </w:rPr>
        <w:t xml:space="preserve">sa rozpočet oproti schválenému rozpočtu </w:t>
      </w:r>
      <w:r w:rsidR="007440F8" w:rsidRPr="000456AE">
        <w:rPr>
          <w:rFonts w:asciiTheme="minorHAnsi" w:hAnsiTheme="minorHAnsi" w:cstheme="minorHAnsi"/>
          <w:sz w:val="22"/>
          <w:szCs w:val="22"/>
        </w:rPr>
        <w:t>v roku 20</w:t>
      </w:r>
      <w:r w:rsidR="00EC0408" w:rsidRPr="000456AE">
        <w:rPr>
          <w:rFonts w:asciiTheme="minorHAnsi" w:hAnsiTheme="minorHAnsi" w:cstheme="minorHAnsi"/>
          <w:sz w:val="22"/>
          <w:szCs w:val="22"/>
        </w:rPr>
        <w:t>20</w:t>
      </w:r>
      <w:r w:rsidR="007440F8" w:rsidRPr="000456AE">
        <w:rPr>
          <w:rFonts w:asciiTheme="minorHAnsi" w:hAnsiTheme="minorHAnsi" w:cstheme="minorHAnsi"/>
          <w:sz w:val="22"/>
          <w:szCs w:val="22"/>
        </w:rPr>
        <w:t xml:space="preserve"> </w:t>
      </w:r>
      <w:r w:rsidRPr="000456AE">
        <w:rPr>
          <w:rFonts w:asciiTheme="minorHAnsi" w:hAnsiTheme="minorHAnsi" w:cstheme="minorHAnsi"/>
          <w:sz w:val="22"/>
          <w:szCs w:val="22"/>
        </w:rPr>
        <w:t>zmenil nasledovne:</w:t>
      </w:r>
    </w:p>
    <w:p w:rsidR="00581369" w:rsidRPr="00D121D9" w:rsidRDefault="00581369" w:rsidP="009810D7">
      <w:pPr>
        <w:pStyle w:val="Zarkazkladnhotextu"/>
        <w:rPr>
          <w:rFonts w:asciiTheme="minorHAnsi" w:hAnsiTheme="minorHAnsi" w:cstheme="minorHAnsi"/>
          <w:color w:val="FF0000"/>
          <w:sz w:val="22"/>
          <w:szCs w:val="22"/>
        </w:rPr>
      </w:pPr>
    </w:p>
    <w:p w:rsidR="009810D7" w:rsidRPr="000456AE" w:rsidRDefault="00C50EC9" w:rsidP="00C50EC9">
      <w:pPr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D121D9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                                         </w:t>
      </w:r>
      <w:r w:rsidR="009810D7" w:rsidRPr="00D121D9">
        <w:rPr>
          <w:rFonts w:asciiTheme="minorHAnsi" w:hAnsiTheme="minorHAnsi" w:cstheme="minorHAnsi"/>
          <w:color w:val="FF0000"/>
          <w:sz w:val="22"/>
          <w:szCs w:val="22"/>
        </w:rPr>
        <w:t xml:space="preserve">   </w:t>
      </w:r>
      <w:r w:rsidR="008775E0">
        <w:rPr>
          <w:rFonts w:asciiTheme="minorHAnsi" w:hAnsiTheme="minorHAnsi" w:cstheme="minorHAnsi"/>
          <w:color w:val="FF0000"/>
          <w:sz w:val="22"/>
          <w:szCs w:val="22"/>
        </w:rPr>
        <w:t xml:space="preserve">    </w:t>
      </w:r>
      <w:r w:rsidR="007440F8" w:rsidRPr="000456AE">
        <w:rPr>
          <w:rFonts w:asciiTheme="minorHAnsi" w:hAnsiTheme="minorHAnsi" w:cstheme="minorHAnsi"/>
          <w:sz w:val="20"/>
          <w:szCs w:val="20"/>
        </w:rPr>
        <w:t>t</w:t>
      </w:r>
      <w:r w:rsidR="009810D7" w:rsidRPr="000456AE">
        <w:rPr>
          <w:rFonts w:asciiTheme="minorHAnsi" w:hAnsiTheme="minorHAnsi" w:cstheme="minorHAnsi"/>
          <w:sz w:val="20"/>
          <w:szCs w:val="20"/>
        </w:rPr>
        <w:t>abuľka č.</w:t>
      </w:r>
      <w:r w:rsidR="007440F8" w:rsidRPr="000456AE">
        <w:rPr>
          <w:rFonts w:asciiTheme="minorHAnsi" w:hAnsiTheme="minorHAnsi" w:cstheme="minorHAnsi"/>
          <w:sz w:val="20"/>
          <w:szCs w:val="20"/>
        </w:rPr>
        <w:t xml:space="preserve"> </w:t>
      </w:r>
      <w:r w:rsidR="000456AE">
        <w:rPr>
          <w:rFonts w:asciiTheme="minorHAnsi" w:hAnsiTheme="minorHAnsi" w:cstheme="minorHAnsi"/>
          <w:sz w:val="20"/>
          <w:szCs w:val="20"/>
        </w:rPr>
        <w:t>2</w:t>
      </w:r>
      <w:r w:rsidR="007440F8" w:rsidRPr="000456AE">
        <w:rPr>
          <w:rFonts w:asciiTheme="minorHAnsi" w:hAnsiTheme="minorHAnsi" w:cstheme="minorHAnsi"/>
          <w:sz w:val="20"/>
          <w:szCs w:val="20"/>
        </w:rPr>
        <w:t xml:space="preserve"> (v </w:t>
      </w:r>
      <w:r w:rsidR="00EB5730">
        <w:rPr>
          <w:rFonts w:asciiTheme="minorHAnsi" w:hAnsiTheme="minorHAnsi" w:cstheme="minorHAnsi"/>
          <w:sz w:val="20"/>
          <w:szCs w:val="20"/>
        </w:rPr>
        <w:t>EUR</w:t>
      </w:r>
      <w:r w:rsidR="007440F8" w:rsidRPr="000456AE">
        <w:rPr>
          <w:rFonts w:asciiTheme="minorHAnsi" w:hAnsiTheme="minorHAnsi" w:cstheme="minorHAnsi"/>
          <w:sz w:val="20"/>
          <w:szCs w:val="20"/>
        </w:rPr>
        <w:t>)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276"/>
        <w:gridCol w:w="1272"/>
        <w:gridCol w:w="1379"/>
        <w:gridCol w:w="1176"/>
      </w:tblGrid>
      <w:tr w:rsidR="00D121D9" w:rsidRPr="00D121D9" w:rsidTr="00CA22C1">
        <w:trPr>
          <w:trHeight w:val="660"/>
          <w:jc w:val="center"/>
        </w:trPr>
        <w:tc>
          <w:tcPr>
            <w:tcW w:w="3539" w:type="dxa"/>
            <w:vMerge w:val="restart"/>
            <w:shd w:val="clear" w:color="auto" w:fill="C6D9F1" w:themeFill="text2" w:themeFillTint="33"/>
            <w:vAlign w:val="center"/>
            <w:hideMark/>
          </w:tcPr>
          <w:p w:rsidR="00CA22C1" w:rsidRPr="000456AE" w:rsidRDefault="00CA22C1" w:rsidP="00CA22C1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Ukazovateľ</w:t>
            </w:r>
          </w:p>
        </w:tc>
        <w:tc>
          <w:tcPr>
            <w:tcW w:w="1276" w:type="dxa"/>
            <w:vMerge w:val="restart"/>
            <w:shd w:val="clear" w:color="auto" w:fill="C6D9F1" w:themeFill="text2" w:themeFillTint="33"/>
            <w:vAlign w:val="center"/>
            <w:hideMark/>
          </w:tcPr>
          <w:p w:rsidR="00CA22C1" w:rsidRPr="000456AE" w:rsidRDefault="00CA22C1" w:rsidP="00CA22C1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Schválený rozpočet 2020</w:t>
            </w:r>
          </w:p>
        </w:tc>
        <w:tc>
          <w:tcPr>
            <w:tcW w:w="1272" w:type="dxa"/>
            <w:vMerge w:val="restart"/>
            <w:shd w:val="clear" w:color="auto" w:fill="C6D9F1" w:themeFill="text2" w:themeFillTint="33"/>
            <w:vAlign w:val="center"/>
            <w:hideMark/>
          </w:tcPr>
          <w:p w:rsidR="00CA22C1" w:rsidRPr="000456AE" w:rsidRDefault="00CA22C1" w:rsidP="00CA22C1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Upravený rozpočet 2020</w:t>
            </w:r>
          </w:p>
        </w:tc>
        <w:tc>
          <w:tcPr>
            <w:tcW w:w="1379" w:type="dxa"/>
            <w:vMerge w:val="restart"/>
            <w:shd w:val="clear" w:color="auto" w:fill="C6D9F1" w:themeFill="text2" w:themeFillTint="33"/>
            <w:vAlign w:val="center"/>
            <w:hideMark/>
          </w:tcPr>
          <w:p w:rsidR="00CA22C1" w:rsidRPr="000456AE" w:rsidRDefault="00CA22C1" w:rsidP="00CA22C1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Plnenie/čerpane k 31.12.2020</w:t>
            </w:r>
          </w:p>
        </w:tc>
        <w:tc>
          <w:tcPr>
            <w:tcW w:w="1176" w:type="dxa"/>
            <w:vMerge w:val="restart"/>
            <w:shd w:val="clear" w:color="auto" w:fill="C6D9F1" w:themeFill="text2" w:themeFillTint="33"/>
            <w:vAlign w:val="center"/>
            <w:hideMark/>
          </w:tcPr>
          <w:p w:rsidR="00CA22C1" w:rsidRPr="000456AE" w:rsidRDefault="00CA22C1" w:rsidP="00CA22C1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% plnenie k zmenenému rozpočtu k 31.12.2020</w:t>
            </w:r>
          </w:p>
        </w:tc>
      </w:tr>
      <w:tr w:rsidR="00D121D9" w:rsidRPr="00D121D9" w:rsidTr="00436660">
        <w:trPr>
          <w:trHeight w:val="517"/>
          <w:jc w:val="center"/>
        </w:trPr>
        <w:tc>
          <w:tcPr>
            <w:tcW w:w="3539" w:type="dxa"/>
            <w:vMerge/>
            <w:shd w:val="clear" w:color="auto" w:fill="C6D9F1" w:themeFill="text2" w:themeFillTint="33"/>
            <w:vAlign w:val="center"/>
            <w:hideMark/>
          </w:tcPr>
          <w:p w:rsidR="00CA22C1" w:rsidRPr="000456AE" w:rsidRDefault="00CA22C1" w:rsidP="00CA22C1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</w:p>
        </w:tc>
        <w:tc>
          <w:tcPr>
            <w:tcW w:w="1276" w:type="dxa"/>
            <w:vMerge/>
            <w:shd w:val="clear" w:color="auto" w:fill="C6D9F1" w:themeFill="text2" w:themeFillTint="33"/>
            <w:vAlign w:val="center"/>
            <w:hideMark/>
          </w:tcPr>
          <w:p w:rsidR="00CA22C1" w:rsidRPr="000456AE" w:rsidRDefault="00CA22C1" w:rsidP="00CA22C1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</w:p>
        </w:tc>
        <w:tc>
          <w:tcPr>
            <w:tcW w:w="1272" w:type="dxa"/>
            <w:vMerge/>
            <w:shd w:val="clear" w:color="auto" w:fill="C6D9F1" w:themeFill="text2" w:themeFillTint="33"/>
            <w:vAlign w:val="center"/>
            <w:hideMark/>
          </w:tcPr>
          <w:p w:rsidR="00CA22C1" w:rsidRPr="000456AE" w:rsidRDefault="00CA22C1" w:rsidP="00CA22C1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</w:p>
        </w:tc>
        <w:tc>
          <w:tcPr>
            <w:tcW w:w="1379" w:type="dxa"/>
            <w:vMerge/>
            <w:shd w:val="clear" w:color="auto" w:fill="C6D9F1" w:themeFill="text2" w:themeFillTint="33"/>
            <w:vAlign w:val="center"/>
            <w:hideMark/>
          </w:tcPr>
          <w:p w:rsidR="00CA22C1" w:rsidRPr="000456AE" w:rsidRDefault="00CA22C1" w:rsidP="00CA22C1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</w:p>
        </w:tc>
        <w:tc>
          <w:tcPr>
            <w:tcW w:w="1176" w:type="dxa"/>
            <w:vMerge/>
            <w:shd w:val="clear" w:color="auto" w:fill="C6D9F1" w:themeFill="text2" w:themeFillTint="33"/>
            <w:vAlign w:val="center"/>
            <w:hideMark/>
          </w:tcPr>
          <w:p w:rsidR="00CA22C1" w:rsidRPr="000456AE" w:rsidRDefault="00CA22C1" w:rsidP="00CA22C1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</w:p>
        </w:tc>
      </w:tr>
      <w:tr w:rsidR="00D121D9" w:rsidRPr="00D121D9" w:rsidTr="00CA22C1">
        <w:trPr>
          <w:cantSplit/>
          <w:trHeight w:val="288"/>
          <w:jc w:val="center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Bežné príjmy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175 181 988,30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177 780 887,20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175 613 428,04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98,78%</w:t>
            </w:r>
          </w:p>
        </w:tc>
      </w:tr>
      <w:tr w:rsidR="00D121D9" w:rsidRPr="00D121D9" w:rsidTr="00CA22C1">
        <w:trPr>
          <w:cantSplit/>
          <w:trHeight w:val="300"/>
          <w:jc w:val="center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Bežné výdavky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170 922 732,53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174 221 749,52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155 827 379,05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89,44%</w:t>
            </w:r>
          </w:p>
        </w:tc>
      </w:tr>
      <w:tr w:rsidR="00D121D9" w:rsidRPr="00D121D9" w:rsidTr="00CA22C1">
        <w:trPr>
          <w:cantSplit/>
          <w:trHeight w:hRule="exact" w:val="300"/>
          <w:jc w:val="center"/>
        </w:trPr>
        <w:tc>
          <w:tcPr>
            <w:tcW w:w="3539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Bilancia bežného rozpočtu</w:t>
            </w:r>
          </w:p>
        </w:tc>
        <w:tc>
          <w:tcPr>
            <w:tcW w:w="1276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4 259 255,77</w:t>
            </w:r>
          </w:p>
        </w:tc>
        <w:tc>
          <w:tcPr>
            <w:tcW w:w="1272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3 559 137,68</w:t>
            </w:r>
          </w:p>
        </w:tc>
        <w:tc>
          <w:tcPr>
            <w:tcW w:w="1379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19 786 048,99</w:t>
            </w:r>
          </w:p>
        </w:tc>
        <w:tc>
          <w:tcPr>
            <w:tcW w:w="1176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 </w:t>
            </w:r>
          </w:p>
        </w:tc>
      </w:tr>
      <w:tr w:rsidR="00D121D9" w:rsidRPr="00D121D9" w:rsidTr="00CA22C1">
        <w:trPr>
          <w:cantSplit/>
          <w:trHeight w:val="288"/>
          <w:jc w:val="center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Kapitálové príjmy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11 212 450,55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11 621 297,70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4 100 517,78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35,28%</w:t>
            </w:r>
          </w:p>
        </w:tc>
      </w:tr>
      <w:tr w:rsidR="00D121D9" w:rsidRPr="00D121D9" w:rsidTr="00CA22C1">
        <w:trPr>
          <w:cantSplit/>
          <w:trHeight w:val="300"/>
          <w:jc w:val="center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Kapitálové výdavky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35 710 134,42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31 995 824,08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10 064 814,06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31,46%</w:t>
            </w:r>
          </w:p>
        </w:tc>
      </w:tr>
      <w:tr w:rsidR="00D121D9" w:rsidRPr="00D121D9" w:rsidTr="00CA22C1">
        <w:trPr>
          <w:cantSplit/>
          <w:trHeight w:hRule="exact" w:val="300"/>
          <w:jc w:val="center"/>
        </w:trPr>
        <w:tc>
          <w:tcPr>
            <w:tcW w:w="3539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Bilancia kapitálového rozpočtu</w:t>
            </w:r>
          </w:p>
        </w:tc>
        <w:tc>
          <w:tcPr>
            <w:tcW w:w="1276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-24 497 683,87</w:t>
            </w:r>
          </w:p>
        </w:tc>
        <w:tc>
          <w:tcPr>
            <w:tcW w:w="1272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-20 374 526,38</w:t>
            </w:r>
          </w:p>
        </w:tc>
        <w:tc>
          <w:tcPr>
            <w:tcW w:w="1379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-5 964 296,28</w:t>
            </w:r>
          </w:p>
        </w:tc>
        <w:tc>
          <w:tcPr>
            <w:tcW w:w="1176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 </w:t>
            </w:r>
          </w:p>
        </w:tc>
      </w:tr>
      <w:tr w:rsidR="00D121D9" w:rsidRPr="00D121D9" w:rsidTr="00CA22C1">
        <w:trPr>
          <w:cantSplit/>
          <w:trHeight w:val="288"/>
          <w:jc w:val="center"/>
        </w:trPr>
        <w:tc>
          <w:tcPr>
            <w:tcW w:w="3539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Bilancia bežného a kapitálového rozpočtu</w:t>
            </w:r>
          </w:p>
        </w:tc>
        <w:tc>
          <w:tcPr>
            <w:tcW w:w="1276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-20 238 428,10</w:t>
            </w:r>
          </w:p>
        </w:tc>
        <w:tc>
          <w:tcPr>
            <w:tcW w:w="1272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-16 815 388,70</w:t>
            </w:r>
          </w:p>
        </w:tc>
        <w:tc>
          <w:tcPr>
            <w:tcW w:w="1379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13 821 752,71</w:t>
            </w:r>
          </w:p>
        </w:tc>
        <w:tc>
          <w:tcPr>
            <w:tcW w:w="1176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 </w:t>
            </w:r>
          </w:p>
        </w:tc>
      </w:tr>
      <w:tr w:rsidR="00D121D9" w:rsidRPr="00D121D9" w:rsidTr="00CA22C1">
        <w:trPr>
          <w:cantSplit/>
          <w:trHeight w:val="288"/>
          <w:jc w:val="center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Príjmové finančné operácie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24 313 596,52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20 918 057,12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16 851 529,99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80,56%</w:t>
            </w:r>
          </w:p>
        </w:tc>
      </w:tr>
      <w:tr w:rsidR="00D121D9" w:rsidRPr="00D121D9" w:rsidTr="00CA22C1">
        <w:trPr>
          <w:cantSplit/>
          <w:trHeight w:val="300"/>
          <w:jc w:val="center"/>
        </w:trPr>
        <w:tc>
          <w:tcPr>
            <w:tcW w:w="3539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Výdavkové finančné operácie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4 075 168,42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4 102 668,42</w:t>
            </w:r>
          </w:p>
        </w:tc>
        <w:tc>
          <w:tcPr>
            <w:tcW w:w="1379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4 556 130,35</w:t>
            </w:r>
          </w:p>
        </w:tc>
        <w:tc>
          <w:tcPr>
            <w:tcW w:w="1176" w:type="dxa"/>
            <w:shd w:val="clear" w:color="auto" w:fill="auto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111,05%</w:t>
            </w:r>
          </w:p>
        </w:tc>
      </w:tr>
      <w:tr w:rsidR="00D121D9" w:rsidRPr="00D121D9" w:rsidTr="00CA22C1">
        <w:trPr>
          <w:cantSplit/>
          <w:trHeight w:hRule="exact" w:val="300"/>
          <w:jc w:val="center"/>
        </w:trPr>
        <w:tc>
          <w:tcPr>
            <w:tcW w:w="3539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Bilancia finančných operácií</w:t>
            </w:r>
          </w:p>
        </w:tc>
        <w:tc>
          <w:tcPr>
            <w:tcW w:w="1276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20 238 428,10</w:t>
            </w:r>
          </w:p>
        </w:tc>
        <w:tc>
          <w:tcPr>
            <w:tcW w:w="1272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16 815 388,70</w:t>
            </w:r>
          </w:p>
        </w:tc>
        <w:tc>
          <w:tcPr>
            <w:tcW w:w="1379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12 295 399,64</w:t>
            </w:r>
          </w:p>
        </w:tc>
        <w:tc>
          <w:tcPr>
            <w:tcW w:w="1176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 </w:t>
            </w:r>
          </w:p>
        </w:tc>
      </w:tr>
      <w:tr w:rsidR="00D121D9" w:rsidRPr="00D121D9" w:rsidTr="00CA22C1">
        <w:trPr>
          <w:cantSplit/>
          <w:trHeight w:val="288"/>
          <w:jc w:val="center"/>
        </w:trPr>
        <w:tc>
          <w:tcPr>
            <w:tcW w:w="3539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Príjmy a príjmové finančné operácie</w:t>
            </w:r>
          </w:p>
        </w:tc>
        <w:tc>
          <w:tcPr>
            <w:tcW w:w="1276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210 708 035,37</w:t>
            </w:r>
          </w:p>
        </w:tc>
        <w:tc>
          <w:tcPr>
            <w:tcW w:w="1272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210 320 242,02</w:t>
            </w:r>
          </w:p>
        </w:tc>
        <w:tc>
          <w:tcPr>
            <w:tcW w:w="1379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196 565 475,81</w:t>
            </w:r>
          </w:p>
        </w:tc>
        <w:tc>
          <w:tcPr>
            <w:tcW w:w="1176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93,46%</w:t>
            </w:r>
          </w:p>
        </w:tc>
      </w:tr>
      <w:tr w:rsidR="00D121D9" w:rsidRPr="00D121D9" w:rsidTr="00CA22C1">
        <w:trPr>
          <w:cantSplit/>
          <w:trHeight w:val="288"/>
          <w:jc w:val="center"/>
        </w:trPr>
        <w:tc>
          <w:tcPr>
            <w:tcW w:w="3539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Výdavky  a výdavkové finančné operácie</w:t>
            </w:r>
          </w:p>
        </w:tc>
        <w:tc>
          <w:tcPr>
            <w:tcW w:w="1276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210 708 035,37</w:t>
            </w:r>
          </w:p>
        </w:tc>
        <w:tc>
          <w:tcPr>
            <w:tcW w:w="1272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210 320 242,02</w:t>
            </w:r>
          </w:p>
        </w:tc>
        <w:tc>
          <w:tcPr>
            <w:tcW w:w="1379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170 448 323,46</w:t>
            </w:r>
          </w:p>
        </w:tc>
        <w:tc>
          <w:tcPr>
            <w:tcW w:w="1176" w:type="dxa"/>
            <w:shd w:val="clear" w:color="auto" w:fill="C6D9F1" w:themeFill="text2" w:themeFillTint="33"/>
            <w:noWrap/>
            <w:vAlign w:val="center"/>
            <w:hideMark/>
          </w:tcPr>
          <w:p w:rsidR="00CA22C1" w:rsidRPr="000456AE" w:rsidRDefault="00CA22C1" w:rsidP="00CA22C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0456AE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81,04%</w:t>
            </w:r>
          </w:p>
        </w:tc>
      </w:tr>
    </w:tbl>
    <w:p w:rsidR="0087527C" w:rsidRPr="00D121D9" w:rsidRDefault="0087527C" w:rsidP="00900BCB">
      <w:pPr>
        <w:pStyle w:val="titulok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b w:val="0"/>
          <w:color w:val="FF0000"/>
          <w:sz w:val="22"/>
          <w:szCs w:val="22"/>
        </w:rPr>
      </w:pPr>
    </w:p>
    <w:p w:rsidR="008775E0" w:rsidRDefault="008775E0" w:rsidP="00900BCB">
      <w:pPr>
        <w:pStyle w:val="titulok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8775E0">
        <w:rPr>
          <w:rFonts w:asciiTheme="minorHAnsi" w:hAnsiTheme="minorHAnsi" w:cstheme="minorHAnsi"/>
          <w:b w:val="0"/>
          <w:color w:val="auto"/>
          <w:sz w:val="22"/>
          <w:szCs w:val="22"/>
        </w:rPr>
        <w:lastRenderedPageBreak/>
        <w:t xml:space="preserve">Najvýznamnejšie rozdiely medzi schváleným rozpočtom a skutočným čerpaním rozpočtu boli zaznamenané pri kapitálových príjmoch </w:t>
      </w:r>
      <w:r w:rsidR="003E2132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vo výške </w:t>
      </w:r>
      <w:r w:rsidR="00820D8C">
        <w:rPr>
          <w:rFonts w:asciiTheme="minorHAnsi" w:hAnsiTheme="minorHAnsi" w:cstheme="minorHAnsi"/>
          <w:color w:val="auto"/>
          <w:sz w:val="22"/>
          <w:szCs w:val="22"/>
        </w:rPr>
        <w:t>7 111 932,77</w:t>
      </w:r>
      <w:r w:rsidR="009F3D89">
        <w:rPr>
          <w:rFonts w:asciiTheme="minorHAnsi" w:hAnsiTheme="minorHAnsi" w:cstheme="minorHAnsi"/>
          <w:color w:val="auto"/>
          <w:sz w:val="22"/>
          <w:szCs w:val="22"/>
        </w:rPr>
        <w:t xml:space="preserve"> EUR </w:t>
      </w:r>
      <w:r w:rsidRPr="008775E0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(plnenie 35,28%) a pri kapitálových výdavkoch </w:t>
      </w:r>
      <w:r w:rsidR="009F3D89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vo výške </w:t>
      </w:r>
      <w:r w:rsidR="00820D8C">
        <w:rPr>
          <w:rFonts w:asciiTheme="minorHAnsi" w:hAnsiTheme="minorHAnsi" w:cstheme="minorHAnsi"/>
          <w:color w:val="auto"/>
          <w:sz w:val="22"/>
          <w:szCs w:val="22"/>
        </w:rPr>
        <w:t>25 645 320,36</w:t>
      </w:r>
      <w:r w:rsidR="009F3D89">
        <w:rPr>
          <w:rFonts w:asciiTheme="minorHAnsi" w:hAnsiTheme="minorHAnsi" w:cstheme="minorHAnsi"/>
          <w:color w:val="auto"/>
          <w:sz w:val="22"/>
          <w:szCs w:val="22"/>
        </w:rPr>
        <w:t xml:space="preserve"> EUR </w:t>
      </w:r>
      <w:r w:rsidRPr="008775E0">
        <w:rPr>
          <w:rFonts w:asciiTheme="minorHAnsi" w:hAnsiTheme="minorHAnsi" w:cstheme="minorHAnsi"/>
          <w:b w:val="0"/>
          <w:color w:val="auto"/>
          <w:sz w:val="22"/>
          <w:szCs w:val="22"/>
        </w:rPr>
        <w:t>(plnenie 31,46</w:t>
      </w:r>
      <w:r w:rsidR="009F3D89">
        <w:rPr>
          <w:rFonts w:asciiTheme="minorHAnsi" w:hAnsiTheme="minorHAnsi" w:cstheme="minorHAnsi"/>
          <w:b w:val="0"/>
          <w:color w:val="auto"/>
          <w:sz w:val="22"/>
          <w:szCs w:val="22"/>
        </w:rPr>
        <w:t>%</w:t>
      </w:r>
      <w:r w:rsidRPr="008775E0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). </w:t>
      </w:r>
      <w:r w:rsidR="003E2132">
        <w:rPr>
          <w:rFonts w:asciiTheme="minorHAnsi" w:hAnsiTheme="minorHAnsi" w:cstheme="minorHAnsi"/>
          <w:b w:val="0"/>
          <w:color w:val="auto"/>
          <w:sz w:val="22"/>
          <w:szCs w:val="22"/>
        </w:rPr>
        <w:t>Kontrolou predložených dokladov bolo zistené, že</w:t>
      </w:r>
      <w:r w:rsidR="009E30C4">
        <w:rPr>
          <w:rFonts w:asciiTheme="minorHAnsi" w:hAnsiTheme="minorHAnsi" w:cstheme="minorHAnsi"/>
          <w:b w:val="0"/>
          <w:color w:val="auto"/>
          <w:sz w:val="22"/>
          <w:szCs w:val="22"/>
        </w:rPr>
        <w:t> </w:t>
      </w:r>
      <w:r w:rsidR="00897AE8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najvýznamnejšie </w:t>
      </w:r>
      <w:r w:rsidR="003E2132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rozdiely medzi </w:t>
      </w:r>
      <w:r w:rsidR="003E2132" w:rsidRPr="008775E0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schváleným rozpočtom a skutočným čerpaním </w:t>
      </w:r>
      <w:r w:rsidR="003E2132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kapitálového </w:t>
      </w:r>
      <w:r w:rsidR="003E2132" w:rsidRPr="008775E0">
        <w:rPr>
          <w:rFonts w:asciiTheme="minorHAnsi" w:hAnsiTheme="minorHAnsi" w:cstheme="minorHAnsi"/>
          <w:b w:val="0"/>
          <w:color w:val="auto"/>
          <w:sz w:val="22"/>
          <w:szCs w:val="22"/>
        </w:rPr>
        <w:t>rozpočtu boli</w:t>
      </w:r>
      <w:r w:rsidR="003E2132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</w:t>
      </w:r>
      <w:r w:rsidR="00897AE8">
        <w:rPr>
          <w:rFonts w:asciiTheme="minorHAnsi" w:hAnsiTheme="minorHAnsi" w:cstheme="minorHAnsi"/>
          <w:b w:val="0"/>
          <w:color w:val="auto"/>
          <w:sz w:val="22"/>
          <w:szCs w:val="22"/>
        </w:rPr>
        <w:t>zaznamenané</w:t>
      </w:r>
      <w:r w:rsidR="003E2132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</w:t>
      </w:r>
      <w:r w:rsidR="00285938">
        <w:rPr>
          <w:rFonts w:asciiTheme="minorHAnsi" w:hAnsiTheme="minorHAnsi" w:cstheme="minorHAnsi"/>
          <w:b w:val="0"/>
          <w:color w:val="auto"/>
          <w:sz w:val="22"/>
          <w:szCs w:val="22"/>
        </w:rPr>
        <w:t>pri</w:t>
      </w:r>
      <w:r w:rsidR="00986182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kapitálových výdavkoch v</w:t>
      </w:r>
      <w:r w:rsidR="003E2132">
        <w:rPr>
          <w:rFonts w:asciiTheme="minorHAnsi" w:hAnsiTheme="minorHAnsi" w:cstheme="minorHAnsi"/>
          <w:b w:val="0"/>
          <w:color w:val="auto"/>
          <w:sz w:val="22"/>
          <w:szCs w:val="22"/>
        </w:rPr>
        <w:t>:</w:t>
      </w:r>
    </w:p>
    <w:p w:rsidR="009F3D89" w:rsidRDefault="009F3D89" w:rsidP="00900BCB">
      <w:pPr>
        <w:pStyle w:val="titulok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b w:val="0"/>
          <w:color w:val="auto"/>
          <w:sz w:val="22"/>
          <w:szCs w:val="22"/>
        </w:rPr>
      </w:pPr>
    </w:p>
    <w:p w:rsidR="00986182" w:rsidRDefault="00C52DD3" w:rsidP="009F3D89">
      <w:pPr>
        <w:pStyle w:val="titulok"/>
        <w:numPr>
          <w:ilvl w:val="0"/>
          <w:numId w:val="48"/>
        </w:numPr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>
        <w:rPr>
          <w:rFonts w:asciiTheme="minorHAnsi" w:hAnsiTheme="minorHAnsi" w:cstheme="minorHAnsi"/>
          <w:b w:val="0"/>
          <w:color w:val="auto"/>
          <w:sz w:val="22"/>
          <w:szCs w:val="22"/>
        </w:rPr>
        <w:t>podprograme 1.3: Stratégia, územný rozvoj a riadenie projektov vo výške</w:t>
      </w:r>
      <w:r w:rsidR="00986182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rozdielu </w:t>
      </w:r>
      <w:r w:rsidR="00986182">
        <w:rPr>
          <w:rFonts w:asciiTheme="minorHAnsi" w:hAnsiTheme="minorHAnsi" w:cstheme="minorHAnsi"/>
          <w:color w:val="auto"/>
          <w:sz w:val="22"/>
          <w:szCs w:val="22"/>
        </w:rPr>
        <w:t xml:space="preserve">10 669 391,68 EUR </w:t>
      </w:r>
      <w:r w:rsidR="00986182">
        <w:rPr>
          <w:rFonts w:asciiTheme="minorHAnsi" w:hAnsiTheme="minorHAnsi" w:cstheme="minorHAnsi"/>
          <w:b w:val="0"/>
          <w:color w:val="auto"/>
          <w:sz w:val="22"/>
          <w:szCs w:val="22"/>
        </w:rPr>
        <w:t>(čerpanie 26,44%),</w:t>
      </w:r>
    </w:p>
    <w:p w:rsidR="006B5786" w:rsidRDefault="00986182" w:rsidP="009F3D89">
      <w:pPr>
        <w:pStyle w:val="titulok"/>
        <w:numPr>
          <w:ilvl w:val="0"/>
          <w:numId w:val="48"/>
        </w:numPr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podprograme 3.3: Majetok-investície, údržba vo výške rozdielu </w:t>
      </w:r>
      <w:r>
        <w:rPr>
          <w:rFonts w:asciiTheme="minorHAnsi" w:hAnsiTheme="minorHAnsi" w:cstheme="minorHAnsi"/>
          <w:color w:val="auto"/>
          <w:sz w:val="22"/>
          <w:szCs w:val="22"/>
        </w:rPr>
        <w:t>7 995 164,14 EUR</w:t>
      </w:r>
      <w:r w:rsidR="006B5786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a</w:t>
      </w:r>
    </w:p>
    <w:p w:rsidR="003E2132" w:rsidRDefault="006B5786" w:rsidP="009F3D89">
      <w:pPr>
        <w:pStyle w:val="titulok"/>
        <w:numPr>
          <w:ilvl w:val="0"/>
          <w:numId w:val="48"/>
        </w:numPr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>
        <w:rPr>
          <w:rFonts w:asciiTheme="minorHAnsi" w:hAnsiTheme="minorHAnsi" w:cstheme="minorHAnsi"/>
          <w:b w:val="0"/>
          <w:color w:val="auto"/>
          <w:sz w:val="22"/>
          <w:szCs w:val="22"/>
        </w:rPr>
        <w:t>programe 6: Komunikácie vo výške rozdielu</w:t>
      </w:r>
      <w:r w:rsidR="00820D8C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</w:t>
      </w:r>
      <w:r w:rsidR="00820D8C">
        <w:rPr>
          <w:rFonts w:asciiTheme="minorHAnsi" w:hAnsiTheme="minorHAnsi" w:cstheme="minorHAnsi"/>
          <w:color w:val="auto"/>
          <w:sz w:val="22"/>
          <w:szCs w:val="22"/>
        </w:rPr>
        <w:t>5 152 979,38 EUR</w:t>
      </w:r>
      <w:r w:rsidR="00820D8C">
        <w:rPr>
          <w:rFonts w:asciiTheme="minorHAnsi" w:hAnsiTheme="minorHAnsi" w:cstheme="minorHAnsi"/>
          <w:b w:val="0"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</w:t>
      </w:r>
      <w:r w:rsidR="00C52DD3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</w:t>
      </w:r>
    </w:p>
    <w:p w:rsidR="003E2132" w:rsidRPr="008775E0" w:rsidRDefault="003E2132" w:rsidP="00900BCB">
      <w:pPr>
        <w:pStyle w:val="titulok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b w:val="0"/>
          <w:color w:val="auto"/>
          <w:sz w:val="22"/>
          <w:szCs w:val="22"/>
        </w:rPr>
      </w:pPr>
    </w:p>
    <w:p w:rsidR="003B0ED1" w:rsidRPr="008775E0" w:rsidRDefault="009810D7" w:rsidP="00900BCB">
      <w:pPr>
        <w:pStyle w:val="titulok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775E0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Úpravy programového rozpočtu </w:t>
      </w:r>
      <w:r w:rsidR="009B411F" w:rsidRPr="008775E0">
        <w:rPr>
          <w:rFonts w:asciiTheme="minorHAnsi" w:hAnsiTheme="minorHAnsi" w:cstheme="minorHAnsi"/>
          <w:b w:val="0"/>
          <w:color w:val="auto"/>
          <w:sz w:val="22"/>
          <w:szCs w:val="22"/>
        </w:rPr>
        <w:t>v roku 20</w:t>
      </w:r>
      <w:r w:rsidR="00436660" w:rsidRPr="008775E0">
        <w:rPr>
          <w:rFonts w:asciiTheme="minorHAnsi" w:hAnsiTheme="minorHAnsi" w:cstheme="minorHAnsi"/>
          <w:b w:val="0"/>
          <w:color w:val="auto"/>
          <w:sz w:val="22"/>
          <w:szCs w:val="22"/>
        </w:rPr>
        <w:t>20</w:t>
      </w:r>
      <w:r w:rsidR="009B411F" w:rsidRPr="008775E0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</w:t>
      </w:r>
      <w:r w:rsidRPr="008775E0">
        <w:rPr>
          <w:rFonts w:asciiTheme="minorHAnsi" w:hAnsiTheme="minorHAnsi" w:cstheme="minorHAnsi"/>
          <w:b w:val="0"/>
          <w:color w:val="auto"/>
          <w:sz w:val="22"/>
          <w:szCs w:val="22"/>
        </w:rPr>
        <w:t>sa vo výdavkovej časti dotkli  jednotlivých programov nasledovne:</w:t>
      </w:r>
    </w:p>
    <w:p w:rsidR="009810D7" w:rsidRPr="008775E0" w:rsidRDefault="00C50EC9" w:rsidP="00C50EC9">
      <w:pPr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D121D9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9810D7" w:rsidRPr="00D121D9">
        <w:rPr>
          <w:rFonts w:asciiTheme="minorHAnsi" w:hAnsiTheme="minorHAnsi" w:cstheme="minorHAnsi"/>
          <w:color w:val="FF0000"/>
          <w:sz w:val="22"/>
          <w:szCs w:val="22"/>
        </w:rPr>
        <w:t xml:space="preserve">  </w:t>
      </w:r>
      <w:r w:rsidR="008775E0">
        <w:rPr>
          <w:rFonts w:asciiTheme="minorHAnsi" w:hAnsiTheme="minorHAnsi" w:cstheme="minorHAnsi"/>
          <w:color w:val="FF0000"/>
          <w:sz w:val="22"/>
          <w:szCs w:val="22"/>
        </w:rPr>
        <w:t xml:space="preserve">               </w:t>
      </w:r>
      <w:r w:rsidR="009810D7" w:rsidRPr="00D121D9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3B0ED1" w:rsidRPr="008775E0">
        <w:rPr>
          <w:rFonts w:asciiTheme="minorHAnsi" w:hAnsiTheme="minorHAnsi" w:cstheme="minorHAnsi"/>
          <w:sz w:val="20"/>
          <w:szCs w:val="20"/>
        </w:rPr>
        <w:t>t</w:t>
      </w:r>
      <w:r w:rsidR="009810D7" w:rsidRPr="008775E0">
        <w:rPr>
          <w:rFonts w:asciiTheme="minorHAnsi" w:hAnsiTheme="minorHAnsi" w:cstheme="minorHAnsi"/>
          <w:sz w:val="20"/>
          <w:szCs w:val="20"/>
        </w:rPr>
        <w:t xml:space="preserve">abuľka č. </w:t>
      </w:r>
      <w:r w:rsidR="00D17477">
        <w:rPr>
          <w:rFonts w:asciiTheme="minorHAnsi" w:hAnsiTheme="minorHAnsi" w:cstheme="minorHAnsi"/>
          <w:sz w:val="20"/>
          <w:szCs w:val="20"/>
        </w:rPr>
        <w:t>3</w:t>
      </w:r>
      <w:r w:rsidR="003B0ED1" w:rsidRPr="008775E0">
        <w:rPr>
          <w:rFonts w:asciiTheme="minorHAnsi" w:hAnsiTheme="minorHAnsi" w:cstheme="minorHAnsi"/>
          <w:sz w:val="20"/>
          <w:szCs w:val="20"/>
        </w:rPr>
        <w:t xml:space="preserve"> (v </w:t>
      </w:r>
      <w:r w:rsidR="00EB5730">
        <w:rPr>
          <w:rFonts w:asciiTheme="minorHAnsi" w:hAnsiTheme="minorHAnsi" w:cstheme="minorHAnsi"/>
          <w:sz w:val="20"/>
          <w:szCs w:val="20"/>
        </w:rPr>
        <w:t>EUR</w:t>
      </w:r>
      <w:r w:rsidR="003B0ED1" w:rsidRPr="008775E0">
        <w:rPr>
          <w:rFonts w:asciiTheme="minorHAnsi" w:hAnsiTheme="minorHAnsi" w:cstheme="minorHAnsi"/>
          <w:sz w:val="20"/>
          <w:szCs w:val="20"/>
        </w:rPr>
        <w:t>)</w:t>
      </w:r>
    </w:p>
    <w:tbl>
      <w:tblPr>
        <w:tblW w:w="93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4253"/>
        <w:gridCol w:w="1276"/>
        <w:gridCol w:w="1412"/>
        <w:gridCol w:w="1281"/>
      </w:tblGrid>
      <w:tr w:rsidR="00593D11" w:rsidRPr="00593D11" w:rsidTr="00593D11">
        <w:trPr>
          <w:trHeight w:val="48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Názov programu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593D11" w:rsidRPr="00593D11" w:rsidRDefault="00E61BF9" w:rsidP="00593D11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S</w:t>
            </w:r>
            <w:r w:rsidR="00593D11" w:rsidRPr="00593D11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chválený rozpočet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Upravený rozpočet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Skutočnosť k 31.12.2020</w:t>
            </w:r>
          </w:p>
        </w:tc>
      </w:tr>
      <w:tr w:rsidR="00593D11" w:rsidRPr="00593D11" w:rsidTr="00593D11">
        <w:trPr>
          <w:trHeight w:val="24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Plánovanie, manažment a kontrola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21 283 498,79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19 468 038,98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6 747 785,15</w:t>
            </w:r>
          </w:p>
        </w:tc>
      </w:tr>
      <w:tr w:rsidR="00593D11" w:rsidRPr="00593D11" w:rsidTr="00593D11">
        <w:trPr>
          <w:trHeight w:val="24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Organizácia podujatí a komunikácia s verejnosťou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500 000,00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500 000,00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275 351,25</w:t>
            </w:r>
          </w:p>
        </w:tc>
      </w:tr>
      <w:tr w:rsidR="00593D11" w:rsidRPr="00593D11" w:rsidTr="00593D11">
        <w:trPr>
          <w:trHeight w:val="24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Interné služby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22 148 728,04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20 836 728,04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10 442 470,73</w:t>
            </w:r>
          </w:p>
        </w:tc>
      </w:tr>
      <w:tr w:rsidR="00593D11" w:rsidRPr="00593D11" w:rsidTr="00593D11">
        <w:trPr>
          <w:trHeight w:val="24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Cestovný ruch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946 780,00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647 780,00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534 360,80</w:t>
            </w:r>
          </w:p>
        </w:tc>
      </w:tr>
      <w:tr w:rsidR="00593D11" w:rsidRPr="00593D11" w:rsidTr="00593D11">
        <w:trPr>
          <w:trHeight w:val="24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Starostlivosť o krajinu, prírodné zdroje</w:t>
            </w:r>
            <w:r w:rsidR="000B284B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,</w:t>
            </w: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 xml:space="preserve"> územné plánovanie a prevenciu obyvateľstva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307 900,00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307 900,00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111 358,42</w:t>
            </w:r>
          </w:p>
        </w:tc>
      </w:tr>
      <w:tr w:rsidR="00593D11" w:rsidRPr="00593D11" w:rsidTr="00593D11">
        <w:trPr>
          <w:trHeight w:val="24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Komunikácie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13 915 133,00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12 816 633,00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6 065 541,80</w:t>
            </w:r>
          </w:p>
        </w:tc>
      </w:tr>
      <w:tr w:rsidR="00593D11" w:rsidRPr="00593D11" w:rsidTr="00593D11">
        <w:trPr>
          <w:trHeight w:val="24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Doprava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21 283 000,00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21 783 000,00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21 165 245,42</w:t>
            </w:r>
          </w:p>
        </w:tc>
      </w:tr>
      <w:tr w:rsidR="00593D11" w:rsidRPr="00593D11" w:rsidTr="00593D11">
        <w:trPr>
          <w:trHeight w:val="24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Vzdelávanie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75 603 276,74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81 047 762,07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75 606 263,30</w:t>
            </w:r>
          </w:p>
        </w:tc>
      </w:tr>
      <w:tr w:rsidR="00593D11" w:rsidRPr="00593D11" w:rsidTr="00593D11">
        <w:trPr>
          <w:trHeight w:val="24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Šport a mládežnícke aktivity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461 000,00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369 000,00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356 967,42</w:t>
            </w:r>
          </w:p>
        </w:tc>
      </w:tr>
      <w:tr w:rsidR="00593D11" w:rsidRPr="00593D11" w:rsidTr="00593D11">
        <w:trPr>
          <w:trHeight w:val="24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Kultúra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4 779 435,00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4 519 935,00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4 397 698,35</w:t>
            </w:r>
          </w:p>
        </w:tc>
      </w:tr>
      <w:tr w:rsidR="00593D11" w:rsidRPr="00593D11" w:rsidTr="00593D11">
        <w:trPr>
          <w:trHeight w:val="24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Sociálne zabezpečenie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33 366 915,38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33 432 969,51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30 785 958,49</w:t>
            </w:r>
          </w:p>
        </w:tc>
      </w:tr>
      <w:tr w:rsidR="00593D11" w:rsidRPr="00593D11" w:rsidTr="00593D11">
        <w:trPr>
          <w:trHeight w:val="24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Zdravotníctvo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620 400,00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886 403,00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802 993,66</w:t>
            </w:r>
          </w:p>
        </w:tc>
      </w:tr>
      <w:tr w:rsidR="00593D11" w:rsidRPr="00593D11" w:rsidTr="00593D11">
        <w:trPr>
          <w:trHeight w:val="24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13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Administratíva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9 416 800,00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9 300 974,00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8 308 297,31</w:t>
            </w:r>
          </w:p>
        </w:tc>
      </w:tr>
      <w:tr w:rsidR="00593D11" w:rsidRPr="00593D11" w:rsidTr="00593D11">
        <w:trPr>
          <w:trHeight w:val="24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Program 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Strate</w:t>
            </w: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gická podpora verejného života a regiónu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2 000 000,00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300 000,00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291 901,01</w:t>
            </w:r>
          </w:p>
        </w:tc>
      </w:tr>
      <w:tr w:rsidR="00593D11" w:rsidRPr="00593D11" w:rsidTr="00593D11">
        <w:trPr>
          <w:trHeight w:val="24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celkom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206 632 866,95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206 217 123,60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165 892 193,11</w:t>
            </w:r>
          </w:p>
        </w:tc>
      </w:tr>
      <w:tr w:rsidR="00593D11" w:rsidRPr="00593D11" w:rsidTr="00593D11">
        <w:trPr>
          <w:trHeight w:val="24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Výdavkové f</w:t>
            </w:r>
            <w: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i</w:t>
            </w: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nančné operácie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4 075 168,42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4 102 668,42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4 556 130,35</w:t>
            </w:r>
          </w:p>
        </w:tc>
      </w:tr>
      <w:tr w:rsidR="00593D11" w:rsidRPr="00593D11" w:rsidTr="00593D11">
        <w:trPr>
          <w:trHeight w:val="24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:rsidR="00593D11" w:rsidRPr="00593D11" w:rsidRDefault="00593D11" w:rsidP="00593D11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celkom s výdavkovými finančnými operáciami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210 708 035,37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210 319 792,02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:rsidR="00593D11" w:rsidRPr="00593D11" w:rsidRDefault="00593D11" w:rsidP="00593D11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593D11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170 448 323,46</w:t>
            </w:r>
          </w:p>
        </w:tc>
      </w:tr>
    </w:tbl>
    <w:p w:rsidR="009810D7" w:rsidRPr="00D121D9" w:rsidRDefault="009810D7" w:rsidP="009810D7">
      <w:pPr>
        <w:ind w:left="7788" w:right="-568"/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  <w:r w:rsidRPr="00D121D9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 xml:space="preserve">                </w:t>
      </w:r>
    </w:p>
    <w:p w:rsidR="002A6936" w:rsidRPr="00593D11" w:rsidRDefault="009810D7" w:rsidP="003D4F3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93D11">
        <w:rPr>
          <w:rFonts w:asciiTheme="minorHAnsi" w:hAnsiTheme="minorHAnsi" w:cstheme="minorHAnsi"/>
          <w:sz w:val="22"/>
          <w:szCs w:val="22"/>
        </w:rPr>
        <w:t xml:space="preserve">Po vykonaných úpravách sa programový rozpočet </w:t>
      </w:r>
      <w:r w:rsidR="00593D11" w:rsidRPr="00593D11">
        <w:rPr>
          <w:rFonts w:asciiTheme="minorHAnsi" w:hAnsiTheme="minorHAnsi" w:cstheme="minorHAnsi"/>
          <w:sz w:val="22"/>
          <w:szCs w:val="22"/>
        </w:rPr>
        <w:t>výdavkov</w:t>
      </w:r>
      <w:r w:rsidR="008D2826">
        <w:rPr>
          <w:rFonts w:asciiTheme="minorHAnsi" w:hAnsiTheme="minorHAnsi" w:cstheme="minorHAnsi"/>
          <w:sz w:val="22"/>
          <w:szCs w:val="22"/>
        </w:rPr>
        <w:t xml:space="preserve"> (bez finančných operácií)</w:t>
      </w:r>
      <w:r w:rsidR="00593D11" w:rsidRPr="00593D11">
        <w:rPr>
          <w:rFonts w:asciiTheme="minorHAnsi" w:hAnsiTheme="minorHAnsi" w:cstheme="minorHAnsi"/>
          <w:sz w:val="22"/>
          <w:szCs w:val="22"/>
        </w:rPr>
        <w:t xml:space="preserve"> </w:t>
      </w:r>
      <w:r w:rsidRPr="00593D11">
        <w:rPr>
          <w:rFonts w:asciiTheme="minorHAnsi" w:hAnsiTheme="minorHAnsi" w:cstheme="minorHAnsi"/>
          <w:sz w:val="22"/>
          <w:szCs w:val="22"/>
        </w:rPr>
        <w:t>k 31. 12.</w:t>
      </w:r>
      <w:r w:rsidR="009F359E" w:rsidRPr="00593D11">
        <w:rPr>
          <w:rFonts w:asciiTheme="minorHAnsi" w:hAnsiTheme="minorHAnsi" w:cstheme="minorHAnsi"/>
          <w:sz w:val="22"/>
          <w:szCs w:val="22"/>
        </w:rPr>
        <w:t xml:space="preserve"> </w:t>
      </w:r>
      <w:r w:rsidRPr="00593D11">
        <w:rPr>
          <w:rFonts w:asciiTheme="minorHAnsi" w:hAnsiTheme="minorHAnsi" w:cstheme="minorHAnsi"/>
          <w:sz w:val="22"/>
          <w:szCs w:val="22"/>
        </w:rPr>
        <w:t>20</w:t>
      </w:r>
      <w:r w:rsidR="00A46F25" w:rsidRPr="00593D11">
        <w:rPr>
          <w:rFonts w:asciiTheme="minorHAnsi" w:hAnsiTheme="minorHAnsi" w:cstheme="minorHAnsi"/>
          <w:sz w:val="22"/>
          <w:szCs w:val="22"/>
        </w:rPr>
        <w:t>20</w:t>
      </w:r>
      <w:r w:rsidRPr="00593D11">
        <w:rPr>
          <w:rFonts w:asciiTheme="minorHAnsi" w:hAnsiTheme="minorHAnsi" w:cstheme="minorHAnsi"/>
          <w:sz w:val="22"/>
          <w:szCs w:val="22"/>
        </w:rPr>
        <w:t xml:space="preserve"> v súhrne z</w:t>
      </w:r>
      <w:r w:rsidR="00593D11" w:rsidRPr="00593D11">
        <w:rPr>
          <w:rFonts w:asciiTheme="minorHAnsi" w:hAnsiTheme="minorHAnsi" w:cstheme="minorHAnsi"/>
          <w:sz w:val="22"/>
          <w:szCs w:val="22"/>
        </w:rPr>
        <w:t xml:space="preserve">nížil </w:t>
      </w:r>
      <w:r w:rsidR="00722A94" w:rsidRPr="00593D11">
        <w:rPr>
          <w:rFonts w:asciiTheme="minorHAnsi" w:hAnsiTheme="minorHAnsi" w:cstheme="minorHAnsi"/>
          <w:sz w:val="22"/>
          <w:szCs w:val="22"/>
        </w:rPr>
        <w:t>o</w:t>
      </w:r>
      <w:r w:rsidR="00593D11" w:rsidRPr="00593D11">
        <w:rPr>
          <w:rFonts w:asciiTheme="minorHAnsi" w:hAnsiTheme="minorHAnsi" w:cstheme="minorHAnsi"/>
          <w:sz w:val="22"/>
          <w:szCs w:val="22"/>
        </w:rPr>
        <w:t> </w:t>
      </w:r>
      <w:r w:rsidR="00593D11" w:rsidRPr="00593D11">
        <w:rPr>
          <w:rFonts w:asciiTheme="minorHAnsi" w:hAnsiTheme="minorHAnsi" w:cstheme="minorHAnsi"/>
          <w:b/>
          <w:sz w:val="22"/>
          <w:szCs w:val="22"/>
        </w:rPr>
        <w:t>40 740 673,84 EUR</w:t>
      </w:r>
      <w:r w:rsidR="00593D11" w:rsidRPr="00593D11">
        <w:rPr>
          <w:rFonts w:asciiTheme="minorHAnsi" w:hAnsiTheme="minorHAnsi" w:cstheme="minorHAnsi"/>
          <w:sz w:val="22"/>
          <w:szCs w:val="22"/>
        </w:rPr>
        <w:t xml:space="preserve">, t. j. o </w:t>
      </w:r>
      <w:r w:rsidR="0033303E" w:rsidRPr="00593D11">
        <w:rPr>
          <w:rFonts w:asciiTheme="minorHAnsi" w:hAnsiTheme="minorHAnsi" w:cstheme="minorHAnsi"/>
          <w:sz w:val="22"/>
          <w:szCs w:val="22"/>
        </w:rPr>
        <w:t>1</w:t>
      </w:r>
      <w:r w:rsidR="008D2826">
        <w:rPr>
          <w:rFonts w:asciiTheme="minorHAnsi" w:hAnsiTheme="minorHAnsi" w:cstheme="minorHAnsi"/>
          <w:sz w:val="22"/>
          <w:szCs w:val="22"/>
        </w:rPr>
        <w:t>9</w:t>
      </w:r>
      <w:r w:rsidR="0073014D" w:rsidRPr="00593D11">
        <w:rPr>
          <w:rFonts w:asciiTheme="minorHAnsi" w:hAnsiTheme="minorHAnsi" w:cstheme="minorHAnsi"/>
          <w:sz w:val="22"/>
          <w:szCs w:val="22"/>
        </w:rPr>
        <w:t>,</w:t>
      </w:r>
      <w:r w:rsidR="008D2826">
        <w:rPr>
          <w:rFonts w:asciiTheme="minorHAnsi" w:hAnsiTheme="minorHAnsi" w:cstheme="minorHAnsi"/>
          <w:sz w:val="22"/>
          <w:szCs w:val="22"/>
        </w:rPr>
        <w:t>72</w:t>
      </w:r>
      <w:r w:rsidR="00E2694B" w:rsidRPr="00593D11">
        <w:rPr>
          <w:rFonts w:asciiTheme="minorHAnsi" w:hAnsiTheme="minorHAnsi" w:cstheme="minorHAnsi"/>
          <w:sz w:val="22"/>
          <w:szCs w:val="22"/>
        </w:rPr>
        <w:t xml:space="preserve"> %.</w:t>
      </w:r>
      <w:r w:rsidRPr="00593D1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46F25" w:rsidRPr="00D121D9" w:rsidRDefault="00A46F25" w:rsidP="003D4F3E">
      <w:pPr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9810D7" w:rsidRPr="00593D11" w:rsidRDefault="009810D7" w:rsidP="009810D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93D11">
        <w:rPr>
          <w:rFonts w:asciiTheme="minorHAnsi" w:hAnsiTheme="minorHAnsi" w:cstheme="minorHAnsi"/>
          <w:b/>
          <w:sz w:val="22"/>
          <w:szCs w:val="22"/>
        </w:rPr>
        <w:t>1.2     Vývoj rozpočtových vzťahov</w:t>
      </w:r>
    </w:p>
    <w:p w:rsidR="009810D7" w:rsidRPr="00593D11" w:rsidRDefault="009810D7" w:rsidP="009810D7">
      <w:pPr>
        <w:ind w:firstLine="708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9810D7" w:rsidRPr="00593D11" w:rsidRDefault="00E95CAA" w:rsidP="009810D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93D11">
        <w:rPr>
          <w:rFonts w:asciiTheme="minorHAnsi" w:hAnsiTheme="minorHAnsi" w:cstheme="minorHAnsi"/>
          <w:sz w:val="22"/>
          <w:szCs w:val="22"/>
        </w:rPr>
        <w:t>Prehľad schválených rozpočtov za roky 201</w:t>
      </w:r>
      <w:r w:rsidR="00A46F25" w:rsidRPr="00593D11">
        <w:rPr>
          <w:rFonts w:asciiTheme="minorHAnsi" w:hAnsiTheme="minorHAnsi" w:cstheme="minorHAnsi"/>
          <w:sz w:val="22"/>
          <w:szCs w:val="22"/>
        </w:rPr>
        <w:t>7</w:t>
      </w:r>
      <w:r w:rsidRPr="00593D11">
        <w:rPr>
          <w:rFonts w:asciiTheme="minorHAnsi" w:hAnsiTheme="minorHAnsi" w:cstheme="minorHAnsi"/>
          <w:sz w:val="22"/>
          <w:szCs w:val="22"/>
        </w:rPr>
        <w:t xml:space="preserve"> až 20</w:t>
      </w:r>
      <w:r w:rsidR="00A46F25" w:rsidRPr="00593D11">
        <w:rPr>
          <w:rFonts w:asciiTheme="minorHAnsi" w:hAnsiTheme="minorHAnsi" w:cstheme="minorHAnsi"/>
          <w:sz w:val="22"/>
          <w:szCs w:val="22"/>
        </w:rPr>
        <w:t>20</w:t>
      </w:r>
      <w:r w:rsidRPr="00593D11">
        <w:rPr>
          <w:rFonts w:asciiTheme="minorHAnsi" w:hAnsiTheme="minorHAnsi" w:cstheme="minorHAnsi"/>
          <w:sz w:val="22"/>
          <w:szCs w:val="22"/>
        </w:rPr>
        <w:t xml:space="preserve"> je uvedený v nasledovnej tabuľke:</w:t>
      </w:r>
      <w:r w:rsidR="009810D7" w:rsidRPr="00593D1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46F25" w:rsidRPr="00D121D9" w:rsidRDefault="00A46F25" w:rsidP="009810D7">
      <w:pPr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731202" w:rsidRDefault="009810D7" w:rsidP="009810D7">
      <w:pPr>
        <w:ind w:left="6381"/>
        <w:rPr>
          <w:rFonts w:asciiTheme="minorHAnsi" w:hAnsiTheme="minorHAnsi" w:cstheme="minorHAnsi"/>
          <w:sz w:val="20"/>
          <w:szCs w:val="20"/>
        </w:rPr>
      </w:pPr>
      <w:r w:rsidRPr="00593D11"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="0024469B" w:rsidRPr="00593D11">
        <w:rPr>
          <w:rFonts w:asciiTheme="minorHAnsi" w:hAnsiTheme="minorHAnsi" w:cstheme="minorHAnsi"/>
          <w:sz w:val="20"/>
          <w:szCs w:val="20"/>
        </w:rPr>
        <w:t xml:space="preserve"> </w:t>
      </w:r>
      <w:r w:rsidR="00593D11">
        <w:rPr>
          <w:rFonts w:asciiTheme="minorHAnsi" w:hAnsiTheme="minorHAnsi" w:cstheme="minorHAnsi"/>
          <w:sz w:val="20"/>
          <w:szCs w:val="20"/>
        </w:rPr>
        <w:t xml:space="preserve">     </w:t>
      </w:r>
      <w:r w:rsidR="0024469B" w:rsidRPr="00593D11">
        <w:rPr>
          <w:rFonts w:asciiTheme="minorHAnsi" w:hAnsiTheme="minorHAnsi" w:cstheme="minorHAnsi"/>
          <w:sz w:val="20"/>
          <w:szCs w:val="20"/>
        </w:rPr>
        <w:t xml:space="preserve">      </w:t>
      </w:r>
      <w:r w:rsidRPr="00593D11">
        <w:rPr>
          <w:rFonts w:asciiTheme="minorHAnsi" w:hAnsiTheme="minorHAnsi" w:cstheme="minorHAnsi"/>
          <w:sz w:val="20"/>
          <w:szCs w:val="20"/>
        </w:rPr>
        <w:t xml:space="preserve"> </w:t>
      </w:r>
      <w:r w:rsidR="00E95CAA" w:rsidRPr="00593D11">
        <w:rPr>
          <w:rFonts w:asciiTheme="minorHAnsi" w:hAnsiTheme="minorHAnsi" w:cstheme="minorHAnsi"/>
          <w:sz w:val="20"/>
          <w:szCs w:val="20"/>
        </w:rPr>
        <w:t>t</w:t>
      </w:r>
      <w:r w:rsidRPr="00593D11">
        <w:rPr>
          <w:rFonts w:asciiTheme="minorHAnsi" w:hAnsiTheme="minorHAnsi" w:cstheme="minorHAnsi"/>
          <w:sz w:val="20"/>
          <w:szCs w:val="20"/>
        </w:rPr>
        <w:t xml:space="preserve">abuľka č. </w:t>
      </w:r>
      <w:r w:rsidR="00593D11" w:rsidRPr="00593D11">
        <w:rPr>
          <w:rFonts w:asciiTheme="minorHAnsi" w:hAnsiTheme="minorHAnsi" w:cstheme="minorHAnsi"/>
          <w:sz w:val="20"/>
          <w:szCs w:val="20"/>
        </w:rPr>
        <w:t>4</w:t>
      </w:r>
      <w:r w:rsidR="00E95CAA" w:rsidRPr="00593D11">
        <w:rPr>
          <w:rFonts w:asciiTheme="minorHAnsi" w:hAnsiTheme="minorHAnsi" w:cstheme="minorHAnsi"/>
          <w:sz w:val="20"/>
          <w:szCs w:val="20"/>
        </w:rPr>
        <w:t xml:space="preserve"> (v </w:t>
      </w:r>
      <w:r w:rsidR="00EB5730">
        <w:rPr>
          <w:rFonts w:asciiTheme="minorHAnsi" w:hAnsiTheme="minorHAnsi" w:cstheme="minorHAnsi"/>
          <w:sz w:val="20"/>
          <w:szCs w:val="20"/>
        </w:rPr>
        <w:t>EUR</w:t>
      </w:r>
      <w:r w:rsidR="00E95CAA" w:rsidRPr="00593D11">
        <w:rPr>
          <w:rFonts w:asciiTheme="minorHAnsi" w:hAnsiTheme="minorHAnsi" w:cstheme="minorHAnsi"/>
          <w:sz w:val="20"/>
          <w:szCs w:val="20"/>
        </w:rPr>
        <w:t>)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1780"/>
        <w:gridCol w:w="1640"/>
        <w:gridCol w:w="1660"/>
        <w:gridCol w:w="1660"/>
      </w:tblGrid>
      <w:tr w:rsidR="00731202" w:rsidRPr="00731202" w:rsidTr="00731202">
        <w:trPr>
          <w:trHeight w:val="300"/>
          <w:jc w:val="center"/>
        </w:trPr>
        <w:tc>
          <w:tcPr>
            <w:tcW w:w="2620" w:type="dxa"/>
            <w:shd w:val="clear" w:color="000000" w:fill="BDD7EE"/>
            <w:noWrap/>
            <w:vAlign w:val="center"/>
            <w:hideMark/>
          </w:tcPr>
          <w:p w:rsidR="00731202" w:rsidRPr="00731202" w:rsidRDefault="00731202" w:rsidP="00731202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Názov ukazovateľa</w:t>
            </w:r>
          </w:p>
        </w:tc>
        <w:tc>
          <w:tcPr>
            <w:tcW w:w="1780" w:type="dxa"/>
            <w:shd w:val="clear" w:color="000000" w:fill="BDD7EE"/>
            <w:vAlign w:val="center"/>
            <w:hideMark/>
          </w:tcPr>
          <w:p w:rsidR="00731202" w:rsidRPr="00731202" w:rsidRDefault="00731202" w:rsidP="0073120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2020</w:t>
            </w:r>
          </w:p>
        </w:tc>
        <w:tc>
          <w:tcPr>
            <w:tcW w:w="1640" w:type="dxa"/>
            <w:shd w:val="clear" w:color="000000" w:fill="BDD7EE"/>
            <w:noWrap/>
            <w:vAlign w:val="center"/>
            <w:hideMark/>
          </w:tcPr>
          <w:p w:rsidR="00731202" w:rsidRPr="00731202" w:rsidRDefault="00731202" w:rsidP="0073120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2019</w:t>
            </w:r>
          </w:p>
        </w:tc>
        <w:tc>
          <w:tcPr>
            <w:tcW w:w="1660" w:type="dxa"/>
            <w:shd w:val="clear" w:color="000000" w:fill="BDD7EE"/>
            <w:noWrap/>
            <w:vAlign w:val="center"/>
            <w:hideMark/>
          </w:tcPr>
          <w:p w:rsidR="00731202" w:rsidRPr="00731202" w:rsidRDefault="00731202" w:rsidP="0073120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2018</w:t>
            </w:r>
          </w:p>
        </w:tc>
        <w:tc>
          <w:tcPr>
            <w:tcW w:w="1660" w:type="dxa"/>
            <w:shd w:val="clear" w:color="000000" w:fill="BDD7EE"/>
            <w:noWrap/>
            <w:vAlign w:val="center"/>
            <w:hideMark/>
          </w:tcPr>
          <w:p w:rsidR="00731202" w:rsidRPr="00731202" w:rsidRDefault="00731202" w:rsidP="00731202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2017</w:t>
            </w:r>
          </w:p>
        </w:tc>
      </w:tr>
      <w:tr w:rsidR="00731202" w:rsidRPr="00731202" w:rsidTr="00731202">
        <w:trPr>
          <w:trHeight w:val="300"/>
          <w:jc w:val="center"/>
        </w:trPr>
        <w:tc>
          <w:tcPr>
            <w:tcW w:w="2620" w:type="dxa"/>
            <w:shd w:val="clear" w:color="000000" w:fill="BDD7EE"/>
            <w:noWrap/>
            <w:vAlign w:val="center"/>
            <w:hideMark/>
          </w:tcPr>
          <w:p w:rsidR="00731202" w:rsidRPr="00731202" w:rsidRDefault="00731202" w:rsidP="00731202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Príjmy rozpočtu BSK, z toho:</w:t>
            </w:r>
          </w:p>
        </w:tc>
        <w:tc>
          <w:tcPr>
            <w:tcW w:w="1780" w:type="dxa"/>
            <w:shd w:val="clear" w:color="000000" w:fill="BDD7EE"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186 394 438,85</w:t>
            </w:r>
          </w:p>
        </w:tc>
        <w:tc>
          <w:tcPr>
            <w:tcW w:w="1640" w:type="dxa"/>
            <w:shd w:val="clear" w:color="000000" w:fill="BDD7EE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172 698 449,93</w:t>
            </w:r>
          </w:p>
        </w:tc>
        <w:tc>
          <w:tcPr>
            <w:tcW w:w="1660" w:type="dxa"/>
            <w:shd w:val="clear" w:color="000000" w:fill="BDD7EE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155 012 324,47</w:t>
            </w:r>
          </w:p>
        </w:tc>
        <w:tc>
          <w:tcPr>
            <w:tcW w:w="1660" w:type="dxa"/>
            <w:shd w:val="clear" w:color="000000" w:fill="BDD7EE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140 127 095,46</w:t>
            </w:r>
          </w:p>
        </w:tc>
      </w:tr>
      <w:tr w:rsidR="00731202" w:rsidRPr="00731202" w:rsidTr="00731202">
        <w:trPr>
          <w:trHeight w:val="300"/>
          <w:jc w:val="center"/>
        </w:trPr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Bežné príjmy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175 181 988,30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158 435 800,23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142 932 494,45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130 157 471,21</w:t>
            </w:r>
          </w:p>
        </w:tc>
      </w:tr>
      <w:tr w:rsidR="00731202" w:rsidRPr="00731202" w:rsidTr="00731202">
        <w:trPr>
          <w:trHeight w:val="300"/>
          <w:jc w:val="center"/>
        </w:trPr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Kapitálové príjmy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11 212 450,55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14 262 649,70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12 079 830,02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9 969 624,25</w:t>
            </w:r>
          </w:p>
        </w:tc>
      </w:tr>
      <w:tr w:rsidR="00731202" w:rsidRPr="00731202" w:rsidTr="00731202">
        <w:trPr>
          <w:trHeight w:val="300"/>
          <w:jc w:val="center"/>
        </w:trPr>
        <w:tc>
          <w:tcPr>
            <w:tcW w:w="2620" w:type="dxa"/>
            <w:shd w:val="clear" w:color="000000" w:fill="C6D9F1"/>
            <w:noWrap/>
            <w:vAlign w:val="center"/>
            <w:hideMark/>
          </w:tcPr>
          <w:p w:rsidR="00731202" w:rsidRPr="00731202" w:rsidRDefault="00731202" w:rsidP="00731202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Výdavky rozpočtu BSK, z toho:</w:t>
            </w:r>
          </w:p>
        </w:tc>
        <w:tc>
          <w:tcPr>
            <w:tcW w:w="1780" w:type="dxa"/>
            <w:shd w:val="clear" w:color="000000" w:fill="C6D9F1"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206 632 866,95</w:t>
            </w:r>
          </w:p>
        </w:tc>
        <w:tc>
          <w:tcPr>
            <w:tcW w:w="1640" w:type="dxa"/>
            <w:shd w:val="clear" w:color="000000" w:fill="C6D9F1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186 566 063,45</w:t>
            </w:r>
          </w:p>
        </w:tc>
        <w:tc>
          <w:tcPr>
            <w:tcW w:w="1660" w:type="dxa"/>
            <w:shd w:val="clear" w:color="000000" w:fill="C6D9F1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179 227 573,37</w:t>
            </w:r>
          </w:p>
        </w:tc>
        <w:tc>
          <w:tcPr>
            <w:tcW w:w="1660" w:type="dxa"/>
            <w:shd w:val="clear" w:color="000000" w:fill="C6D9F1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142 009 600,00</w:t>
            </w:r>
          </w:p>
        </w:tc>
      </w:tr>
      <w:tr w:rsidR="00731202" w:rsidRPr="00731202" w:rsidTr="00731202">
        <w:trPr>
          <w:trHeight w:val="300"/>
          <w:jc w:val="center"/>
        </w:trPr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Bežné výdavky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170 922 732,53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150 892 967,34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141 105 378,03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123 491 976,49</w:t>
            </w:r>
          </w:p>
        </w:tc>
      </w:tr>
      <w:tr w:rsidR="00731202" w:rsidRPr="00731202" w:rsidTr="00731202">
        <w:trPr>
          <w:trHeight w:val="300"/>
          <w:jc w:val="center"/>
        </w:trPr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Kapitálové výdavky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35 710 134,42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35 673 096,11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38 122 195,34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18 517 623,51</w:t>
            </w:r>
          </w:p>
        </w:tc>
      </w:tr>
      <w:tr w:rsidR="00731202" w:rsidRPr="00731202" w:rsidTr="00731202">
        <w:trPr>
          <w:trHeight w:val="300"/>
          <w:jc w:val="center"/>
        </w:trPr>
        <w:tc>
          <w:tcPr>
            <w:tcW w:w="2620" w:type="dxa"/>
            <w:shd w:val="clear" w:color="000000" w:fill="C6D9F1"/>
            <w:noWrap/>
            <w:vAlign w:val="center"/>
            <w:hideMark/>
          </w:tcPr>
          <w:p w:rsidR="00731202" w:rsidRPr="00731202" w:rsidRDefault="00731202" w:rsidP="00731202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Bilancia rozpočtu celkom (bez FO)</w:t>
            </w:r>
          </w:p>
        </w:tc>
        <w:tc>
          <w:tcPr>
            <w:tcW w:w="1780" w:type="dxa"/>
            <w:shd w:val="clear" w:color="000000" w:fill="C6D9F1"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-20 238 428,10</w:t>
            </w:r>
          </w:p>
        </w:tc>
        <w:tc>
          <w:tcPr>
            <w:tcW w:w="1640" w:type="dxa"/>
            <w:shd w:val="clear" w:color="000000" w:fill="C6D9F1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-13 867 613,52</w:t>
            </w:r>
          </w:p>
        </w:tc>
        <w:tc>
          <w:tcPr>
            <w:tcW w:w="1660" w:type="dxa"/>
            <w:shd w:val="clear" w:color="000000" w:fill="C6D9F1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-24 215 248,90</w:t>
            </w:r>
          </w:p>
        </w:tc>
        <w:tc>
          <w:tcPr>
            <w:tcW w:w="1660" w:type="dxa"/>
            <w:shd w:val="clear" w:color="000000" w:fill="C6D9F1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-1 882 504,54</w:t>
            </w:r>
          </w:p>
        </w:tc>
      </w:tr>
      <w:tr w:rsidR="00731202" w:rsidRPr="00731202" w:rsidTr="00731202">
        <w:trPr>
          <w:trHeight w:val="300"/>
          <w:jc w:val="center"/>
        </w:trPr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 xml:space="preserve">Bilancia bežného rozpočtu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4 259 255,77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7 542 832,89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1 827 116,42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6 665 494,72</w:t>
            </w:r>
          </w:p>
        </w:tc>
      </w:tr>
      <w:tr w:rsidR="00731202" w:rsidRPr="00731202" w:rsidTr="00731202">
        <w:trPr>
          <w:trHeight w:val="300"/>
          <w:jc w:val="center"/>
        </w:trPr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 xml:space="preserve">Bilancia kapitálového rozpočtu 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-24 497 683,87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-21 410 446,41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-26 042 365,32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-8 547 999,26</w:t>
            </w:r>
          </w:p>
        </w:tc>
      </w:tr>
      <w:tr w:rsidR="00731202" w:rsidRPr="00731202" w:rsidTr="00731202">
        <w:trPr>
          <w:trHeight w:val="300"/>
          <w:jc w:val="center"/>
        </w:trPr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Príjmové finančné operácie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24 313 596,52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17 731 781,94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29 479 417,32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4 600 000,00</w:t>
            </w:r>
          </w:p>
        </w:tc>
      </w:tr>
      <w:tr w:rsidR="00731202" w:rsidRPr="00731202" w:rsidTr="00731202">
        <w:trPr>
          <w:trHeight w:val="300"/>
          <w:jc w:val="center"/>
        </w:trPr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lastRenderedPageBreak/>
              <w:t>Výdavkové finančné operácie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4 075 168,42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3 864 168,42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5 264 168,42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2 717 495,46</w:t>
            </w:r>
          </w:p>
        </w:tc>
      </w:tr>
      <w:tr w:rsidR="00731202" w:rsidRPr="00731202" w:rsidTr="00731202">
        <w:trPr>
          <w:trHeight w:val="300"/>
          <w:jc w:val="center"/>
        </w:trPr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Bilancia FO</w:t>
            </w:r>
          </w:p>
        </w:tc>
        <w:tc>
          <w:tcPr>
            <w:tcW w:w="1780" w:type="dxa"/>
            <w:shd w:val="clear" w:color="auto" w:fill="auto"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20 238 428,10</w:t>
            </w:r>
          </w:p>
        </w:tc>
        <w:tc>
          <w:tcPr>
            <w:tcW w:w="164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13 867 613,52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24 215 248,90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1 882 504,54</w:t>
            </w:r>
          </w:p>
        </w:tc>
      </w:tr>
      <w:tr w:rsidR="00731202" w:rsidRPr="00731202" w:rsidTr="00731202">
        <w:trPr>
          <w:trHeight w:val="300"/>
          <w:jc w:val="center"/>
        </w:trPr>
        <w:tc>
          <w:tcPr>
            <w:tcW w:w="2620" w:type="dxa"/>
            <w:shd w:val="clear" w:color="000000" w:fill="BDD7EE"/>
            <w:noWrap/>
            <w:vAlign w:val="center"/>
            <w:hideMark/>
          </w:tcPr>
          <w:p w:rsidR="00731202" w:rsidRPr="00731202" w:rsidRDefault="00731202" w:rsidP="00731202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Rozpočet celkom vrátane FO</w:t>
            </w:r>
          </w:p>
        </w:tc>
        <w:tc>
          <w:tcPr>
            <w:tcW w:w="1780" w:type="dxa"/>
            <w:shd w:val="clear" w:color="000000" w:fill="BDD7EE"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210 708 035,37</w:t>
            </w:r>
          </w:p>
        </w:tc>
        <w:tc>
          <w:tcPr>
            <w:tcW w:w="1640" w:type="dxa"/>
            <w:shd w:val="clear" w:color="000000" w:fill="BDD7EE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190 430 231,87</w:t>
            </w:r>
          </w:p>
        </w:tc>
        <w:tc>
          <w:tcPr>
            <w:tcW w:w="1660" w:type="dxa"/>
            <w:shd w:val="clear" w:color="000000" w:fill="BDD7EE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184 491 741,79</w:t>
            </w:r>
          </w:p>
        </w:tc>
        <w:tc>
          <w:tcPr>
            <w:tcW w:w="1660" w:type="dxa"/>
            <w:shd w:val="clear" w:color="000000" w:fill="BDD7EE"/>
            <w:noWrap/>
            <w:vAlign w:val="center"/>
            <w:hideMark/>
          </w:tcPr>
          <w:p w:rsidR="00731202" w:rsidRPr="00731202" w:rsidRDefault="00731202" w:rsidP="00731202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731202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144 727 095,46</w:t>
            </w:r>
          </w:p>
        </w:tc>
      </w:tr>
    </w:tbl>
    <w:p w:rsidR="00731202" w:rsidRDefault="00731202" w:rsidP="009810D7">
      <w:pPr>
        <w:ind w:left="6381"/>
        <w:rPr>
          <w:rFonts w:asciiTheme="minorHAnsi" w:hAnsiTheme="minorHAnsi" w:cstheme="minorHAnsi"/>
          <w:sz w:val="20"/>
          <w:szCs w:val="20"/>
        </w:rPr>
      </w:pPr>
    </w:p>
    <w:p w:rsidR="00731202" w:rsidRDefault="00731202" w:rsidP="009810D7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1F2C9B" w:rsidRPr="00026946" w:rsidRDefault="009810D7" w:rsidP="009810D7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  <w:highlight w:val="yellow"/>
        </w:rPr>
      </w:pPr>
      <w:r w:rsidRPr="00D121D9">
        <w:rPr>
          <w:rFonts w:asciiTheme="minorHAnsi" w:hAnsiTheme="minorHAnsi" w:cstheme="minorHAnsi"/>
          <w:color w:val="FF0000"/>
          <w:sz w:val="22"/>
          <w:szCs w:val="22"/>
        </w:rPr>
        <w:tab/>
      </w:r>
      <w:r w:rsidRPr="00026946">
        <w:rPr>
          <w:rFonts w:asciiTheme="minorHAnsi" w:hAnsiTheme="minorHAnsi" w:cstheme="minorHAnsi"/>
          <w:color w:val="000000" w:themeColor="text1"/>
          <w:sz w:val="22"/>
          <w:szCs w:val="22"/>
        </w:rPr>
        <w:t>Z vyššie uvedenej tabuľky vyplýva, že  rozpočtované príjmy schváleného rozpočtu na rok 20</w:t>
      </w:r>
      <w:r w:rsidR="000E086F" w:rsidRPr="00026946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="0040200C" w:rsidRPr="0002694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(bez príjmových finančných operácií)</w:t>
      </w:r>
      <w:r w:rsidRPr="0002694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</w:t>
      </w:r>
      <w:r w:rsidR="004B2B2E" w:rsidRPr="0002694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celkovej</w:t>
      </w:r>
      <w:r w:rsidRPr="00026946">
        <w:rPr>
          <w:rFonts w:asciiTheme="minorHAnsi" w:hAnsiTheme="minorHAnsi" w:cstheme="minorHAnsi"/>
          <w:color w:val="000000" w:themeColor="text1"/>
          <w:sz w:val="22"/>
          <w:szCs w:val="22"/>
        </w:rPr>
        <w:t> sume</w:t>
      </w:r>
      <w:r w:rsidR="0040200C" w:rsidRPr="0002694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0200C" w:rsidRPr="0002694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186 394 438,85 EUR</w:t>
      </w:r>
      <w:r w:rsidRPr="0002694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40200C" w:rsidRPr="0002694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(2019 = </w:t>
      </w:r>
      <w:r w:rsidR="002331EE" w:rsidRPr="00026946">
        <w:rPr>
          <w:rFonts w:ascii="Calibri" w:hAnsi="Calibri" w:cs="Calibri"/>
          <w:bCs w:val="0"/>
          <w:i/>
          <w:color w:val="000000" w:themeColor="text1"/>
          <w:sz w:val="22"/>
          <w:szCs w:val="22"/>
          <w:lang w:eastAsia="sk-SK"/>
        </w:rPr>
        <w:t>172 698 449,93</w:t>
      </w:r>
      <w:r w:rsidR="005612C2" w:rsidRPr="0002694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="0040200C" w:rsidRPr="0002694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EUR)</w:t>
      </w:r>
      <w:r w:rsidR="005612C2" w:rsidRPr="0002694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02694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boli v</w:t>
      </w:r>
      <w:r w:rsidRPr="00026946">
        <w:rPr>
          <w:rFonts w:asciiTheme="minorHAnsi" w:hAnsiTheme="minorHAnsi" w:cstheme="minorHAnsi"/>
          <w:color w:val="000000" w:themeColor="text1"/>
          <w:sz w:val="22"/>
          <w:szCs w:val="22"/>
        </w:rPr>
        <w:t> porovnaní s rokom 201</w:t>
      </w:r>
      <w:r w:rsidR="0040200C" w:rsidRPr="00026946">
        <w:rPr>
          <w:rFonts w:asciiTheme="minorHAnsi" w:hAnsiTheme="minorHAnsi" w:cstheme="minorHAnsi"/>
          <w:color w:val="000000" w:themeColor="text1"/>
          <w:sz w:val="22"/>
          <w:szCs w:val="22"/>
        </w:rPr>
        <w:t>9</w:t>
      </w:r>
      <w:r w:rsidRPr="0002694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17B52" w:rsidRPr="0002694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vyššie </w:t>
      </w:r>
      <w:r w:rsidR="0071433D" w:rsidRPr="00026946">
        <w:rPr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="0040200C" w:rsidRPr="00026946">
        <w:rPr>
          <w:rFonts w:asciiTheme="minorHAnsi" w:hAnsiTheme="minorHAnsi" w:cstheme="minorHAnsi"/>
          <w:color w:val="000000" w:themeColor="text1"/>
          <w:sz w:val="22"/>
          <w:szCs w:val="22"/>
        </w:rPr>
        <w:t> 7,93</w:t>
      </w:r>
      <w:r w:rsidR="005D1A2A" w:rsidRPr="0002694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%</w:t>
      </w:r>
      <w:r w:rsidRPr="00026946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 xml:space="preserve">. Rozpočtované výdavky </w:t>
      </w:r>
      <w:r w:rsidR="0040200C" w:rsidRPr="0002694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schváleného rozpočtu na rok 2020 (bez výdavkových finančných operácií) </w:t>
      </w:r>
      <w:r w:rsidRPr="00026946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>v</w:t>
      </w:r>
      <w:r w:rsidR="0040200C" w:rsidRPr="00026946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 xml:space="preserve"> celkovej </w:t>
      </w:r>
      <w:r w:rsidRPr="00026946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>sume</w:t>
      </w:r>
      <w:r w:rsidR="00CD09CA" w:rsidRPr="00026946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 xml:space="preserve"> </w:t>
      </w:r>
      <w:r w:rsidR="0040200C" w:rsidRPr="00026946">
        <w:rPr>
          <w:rFonts w:asciiTheme="minorHAnsi" w:hAnsiTheme="minorHAnsi" w:cstheme="minorHAnsi"/>
          <w:b/>
          <w:bCs w:val="0"/>
          <w:color w:val="000000" w:themeColor="text1"/>
          <w:sz w:val="22"/>
          <w:szCs w:val="22"/>
          <w:lang w:eastAsia="sk-SK"/>
        </w:rPr>
        <w:t xml:space="preserve">206 632 866,95 EUR </w:t>
      </w:r>
      <w:r w:rsidR="0040200C" w:rsidRPr="00026946">
        <w:rPr>
          <w:rFonts w:asciiTheme="minorHAnsi" w:hAnsiTheme="minorHAnsi" w:cstheme="minorHAnsi"/>
          <w:bCs w:val="0"/>
          <w:i/>
          <w:color w:val="000000" w:themeColor="text1"/>
          <w:sz w:val="22"/>
          <w:szCs w:val="22"/>
          <w:lang w:eastAsia="sk-SK"/>
        </w:rPr>
        <w:t xml:space="preserve">(2019 = </w:t>
      </w:r>
      <w:r w:rsidR="007E3382" w:rsidRPr="00026946">
        <w:rPr>
          <w:rFonts w:ascii="Calibri" w:hAnsi="Calibri" w:cs="Calibri"/>
          <w:bCs w:val="0"/>
          <w:i/>
          <w:color w:val="000000" w:themeColor="text1"/>
          <w:sz w:val="22"/>
          <w:szCs w:val="22"/>
          <w:lang w:eastAsia="sk-SK"/>
        </w:rPr>
        <w:t>186 566 063,45</w:t>
      </w:r>
      <w:r w:rsidR="00BB4702" w:rsidRPr="00026946">
        <w:rPr>
          <w:rFonts w:asciiTheme="minorHAnsi" w:hAnsiTheme="minorHAnsi" w:cstheme="minorHAnsi"/>
          <w:bCs w:val="0"/>
          <w:i/>
          <w:color w:val="000000" w:themeColor="text1"/>
          <w:sz w:val="22"/>
          <w:szCs w:val="22"/>
          <w:lang w:eastAsia="sk-SK"/>
        </w:rPr>
        <w:t xml:space="preserve"> </w:t>
      </w:r>
      <w:r w:rsidR="0040200C" w:rsidRPr="00026946">
        <w:rPr>
          <w:rFonts w:asciiTheme="minorHAnsi" w:hAnsiTheme="minorHAnsi" w:cstheme="minorHAnsi"/>
          <w:bCs w:val="0"/>
          <w:i/>
          <w:color w:val="000000" w:themeColor="text1"/>
          <w:sz w:val="22"/>
          <w:szCs w:val="22"/>
          <w:lang w:eastAsia="sk-SK"/>
        </w:rPr>
        <w:t>EUR)</w:t>
      </w:r>
      <w:r w:rsidR="00AA19AC" w:rsidRPr="00026946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 xml:space="preserve"> </w:t>
      </w:r>
      <w:r w:rsidRPr="00026946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>v</w:t>
      </w:r>
      <w:r w:rsidR="009E30C4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> </w:t>
      </w:r>
      <w:r w:rsidRPr="00026946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>porovnaní s rokom 20</w:t>
      </w:r>
      <w:r w:rsidR="00B041F5" w:rsidRPr="00026946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>1</w:t>
      </w:r>
      <w:r w:rsidR="0040200C" w:rsidRPr="00026946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>9</w:t>
      </w:r>
      <w:r w:rsidR="00B041F5" w:rsidRPr="00026946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 xml:space="preserve"> boli zvýšené </w:t>
      </w:r>
      <w:r w:rsidR="00647A67" w:rsidRPr="00026946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>o</w:t>
      </w:r>
      <w:r w:rsidR="0040200C" w:rsidRPr="00026946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> 10,76</w:t>
      </w:r>
      <w:r w:rsidRPr="00026946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 xml:space="preserve"> %. </w:t>
      </w:r>
    </w:p>
    <w:p w:rsidR="006A6BEE" w:rsidRPr="00D121D9" w:rsidRDefault="006A6BEE" w:rsidP="009810D7">
      <w:pPr>
        <w:ind w:firstLine="709"/>
        <w:jc w:val="both"/>
        <w:rPr>
          <w:rFonts w:asciiTheme="minorHAnsi" w:hAnsiTheme="minorHAnsi" w:cstheme="minorHAnsi"/>
          <w:bCs w:val="0"/>
          <w:color w:val="FF0000"/>
          <w:sz w:val="22"/>
          <w:szCs w:val="22"/>
          <w:lang w:eastAsia="sk-SK"/>
        </w:rPr>
      </w:pPr>
    </w:p>
    <w:p w:rsidR="009810D7" w:rsidRDefault="009810D7" w:rsidP="009810D7">
      <w:pPr>
        <w:ind w:firstLine="709"/>
        <w:jc w:val="both"/>
        <w:rPr>
          <w:rFonts w:asciiTheme="minorHAnsi" w:hAnsiTheme="minorHAnsi" w:cstheme="minorHAnsi"/>
          <w:bCs w:val="0"/>
          <w:sz w:val="22"/>
          <w:szCs w:val="22"/>
          <w:lang w:eastAsia="sk-SK"/>
        </w:rPr>
      </w:pPr>
      <w:r w:rsidRPr="000E086F">
        <w:rPr>
          <w:rFonts w:asciiTheme="minorHAnsi" w:hAnsiTheme="minorHAnsi" w:cstheme="minorHAnsi"/>
          <w:bCs w:val="0"/>
          <w:sz w:val="22"/>
          <w:szCs w:val="22"/>
          <w:lang w:eastAsia="sk-SK"/>
        </w:rPr>
        <w:t>Skutočné plnenie rozpočtov za obdobie 201</w:t>
      </w:r>
      <w:r w:rsidR="000E086F" w:rsidRPr="000E086F">
        <w:rPr>
          <w:rFonts w:asciiTheme="minorHAnsi" w:hAnsiTheme="minorHAnsi" w:cstheme="minorHAnsi"/>
          <w:bCs w:val="0"/>
          <w:sz w:val="22"/>
          <w:szCs w:val="22"/>
          <w:lang w:eastAsia="sk-SK"/>
        </w:rPr>
        <w:t>7</w:t>
      </w:r>
      <w:r w:rsidRPr="000E086F">
        <w:rPr>
          <w:rFonts w:asciiTheme="minorHAnsi" w:hAnsiTheme="minorHAnsi" w:cstheme="minorHAnsi"/>
          <w:bCs w:val="0"/>
          <w:sz w:val="22"/>
          <w:szCs w:val="22"/>
          <w:lang w:eastAsia="sk-SK"/>
        </w:rPr>
        <w:t xml:space="preserve"> až 20</w:t>
      </w:r>
      <w:r w:rsidR="000E086F" w:rsidRPr="000E086F">
        <w:rPr>
          <w:rFonts w:asciiTheme="minorHAnsi" w:hAnsiTheme="minorHAnsi" w:cstheme="minorHAnsi"/>
          <w:bCs w:val="0"/>
          <w:sz w:val="22"/>
          <w:szCs w:val="22"/>
          <w:lang w:eastAsia="sk-SK"/>
        </w:rPr>
        <w:t>20</w:t>
      </w:r>
      <w:r w:rsidR="006A6BEE" w:rsidRPr="000E086F">
        <w:rPr>
          <w:rFonts w:asciiTheme="minorHAnsi" w:hAnsiTheme="minorHAnsi" w:cstheme="minorHAnsi"/>
          <w:bCs w:val="0"/>
          <w:sz w:val="22"/>
          <w:szCs w:val="22"/>
          <w:lang w:eastAsia="sk-SK"/>
        </w:rPr>
        <w:t xml:space="preserve"> bolo nasledovné</w:t>
      </w:r>
      <w:r w:rsidR="00937BF4" w:rsidRPr="000E086F">
        <w:rPr>
          <w:rFonts w:asciiTheme="minorHAnsi" w:hAnsiTheme="minorHAnsi" w:cstheme="minorHAnsi"/>
          <w:bCs w:val="0"/>
          <w:sz w:val="22"/>
          <w:szCs w:val="22"/>
          <w:lang w:eastAsia="sk-SK"/>
        </w:rPr>
        <w:t>:</w:t>
      </w:r>
      <w:r w:rsidRPr="000E086F">
        <w:rPr>
          <w:rFonts w:asciiTheme="minorHAnsi" w:hAnsiTheme="minorHAnsi" w:cstheme="minorHAnsi"/>
          <w:bCs w:val="0"/>
          <w:sz w:val="22"/>
          <w:szCs w:val="22"/>
          <w:lang w:eastAsia="sk-SK"/>
        </w:rPr>
        <w:t xml:space="preserve">  </w:t>
      </w:r>
    </w:p>
    <w:p w:rsidR="00335028" w:rsidRPr="000E086F" w:rsidRDefault="00335028" w:rsidP="009810D7">
      <w:pPr>
        <w:ind w:firstLine="709"/>
        <w:jc w:val="both"/>
        <w:rPr>
          <w:rFonts w:asciiTheme="minorHAnsi" w:hAnsiTheme="minorHAnsi" w:cstheme="minorHAnsi"/>
          <w:bCs w:val="0"/>
          <w:sz w:val="22"/>
          <w:szCs w:val="22"/>
          <w:lang w:eastAsia="sk-SK"/>
        </w:rPr>
      </w:pPr>
    </w:p>
    <w:p w:rsidR="009810D7" w:rsidRPr="00335028" w:rsidRDefault="00937BF4" w:rsidP="00335028">
      <w:pPr>
        <w:ind w:firstLine="709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D121D9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                            </w:t>
      </w:r>
      <w:r w:rsidR="00026946">
        <w:rPr>
          <w:rFonts w:asciiTheme="minorHAnsi" w:hAnsiTheme="minorHAnsi" w:cstheme="minorHAnsi"/>
          <w:color w:val="FF0000"/>
          <w:sz w:val="22"/>
          <w:szCs w:val="22"/>
        </w:rPr>
        <w:t xml:space="preserve">   </w:t>
      </w:r>
      <w:r w:rsidRPr="00335028">
        <w:rPr>
          <w:rFonts w:asciiTheme="minorHAnsi" w:hAnsiTheme="minorHAnsi" w:cstheme="minorHAnsi"/>
          <w:sz w:val="20"/>
          <w:szCs w:val="20"/>
        </w:rPr>
        <w:t xml:space="preserve">tabuľka č. </w:t>
      </w:r>
      <w:r w:rsidR="00026946">
        <w:rPr>
          <w:rFonts w:asciiTheme="minorHAnsi" w:hAnsiTheme="minorHAnsi" w:cstheme="minorHAnsi"/>
          <w:sz w:val="20"/>
          <w:szCs w:val="20"/>
        </w:rPr>
        <w:t>5</w:t>
      </w:r>
      <w:r w:rsidRPr="00335028">
        <w:rPr>
          <w:rFonts w:asciiTheme="minorHAnsi" w:hAnsiTheme="minorHAnsi" w:cstheme="minorHAnsi"/>
          <w:sz w:val="20"/>
          <w:szCs w:val="20"/>
        </w:rPr>
        <w:t xml:space="preserve"> (v </w:t>
      </w:r>
      <w:r w:rsidR="00EB5730">
        <w:rPr>
          <w:rFonts w:asciiTheme="minorHAnsi" w:hAnsiTheme="minorHAnsi" w:cstheme="minorHAnsi"/>
          <w:sz w:val="20"/>
          <w:szCs w:val="20"/>
        </w:rPr>
        <w:t>EUR</w:t>
      </w:r>
      <w:r w:rsidRPr="00335028">
        <w:rPr>
          <w:rFonts w:asciiTheme="minorHAnsi" w:hAnsiTheme="minorHAnsi" w:cstheme="minorHAnsi"/>
          <w:sz w:val="20"/>
          <w:szCs w:val="20"/>
        </w:rPr>
        <w:t>)</w:t>
      </w:r>
      <w:r w:rsidR="009810D7" w:rsidRPr="00335028">
        <w:rPr>
          <w:rFonts w:asciiTheme="minorHAnsi" w:hAnsiTheme="minorHAnsi" w:cstheme="minorHAnsi"/>
          <w:color w:val="FF0000"/>
          <w:sz w:val="20"/>
          <w:szCs w:val="20"/>
        </w:rPr>
        <w:t xml:space="preserve">          </w:t>
      </w:r>
    </w:p>
    <w:tbl>
      <w:tblPr>
        <w:tblW w:w="836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6"/>
        <w:gridCol w:w="1539"/>
        <w:gridCol w:w="1275"/>
        <w:gridCol w:w="1276"/>
        <w:gridCol w:w="1418"/>
      </w:tblGrid>
      <w:tr w:rsidR="00335028" w:rsidRPr="00335028" w:rsidTr="00335028">
        <w:trPr>
          <w:trHeight w:val="253"/>
          <w:jc w:val="center"/>
        </w:trPr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Názov ukazovateľa</w:t>
            </w:r>
          </w:p>
        </w:tc>
        <w:tc>
          <w:tcPr>
            <w:tcW w:w="55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 xml:space="preserve">Skutočné plnenie rozpočtu  </w:t>
            </w:r>
          </w:p>
        </w:tc>
      </w:tr>
      <w:tr w:rsidR="00335028" w:rsidRPr="00335028" w:rsidTr="00335028">
        <w:trPr>
          <w:trHeight w:val="253"/>
          <w:jc w:val="center"/>
        </w:trPr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28" w:rsidRPr="00335028" w:rsidRDefault="00335028" w:rsidP="00335028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2017</w:t>
            </w:r>
          </w:p>
        </w:tc>
      </w:tr>
      <w:tr w:rsidR="00335028" w:rsidRPr="00335028" w:rsidTr="00335028">
        <w:trPr>
          <w:trHeight w:val="253"/>
          <w:jc w:val="center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 xml:space="preserve">Príjmy rozpočtu BSK, </w:t>
            </w:r>
            <w:r w:rsidR="000B284B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 xml:space="preserve">z </w:t>
            </w: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toho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179 713 945,82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177 281 648,51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156 456 410,27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138 420 074,44</w:t>
            </w:r>
          </w:p>
        </w:tc>
      </w:tr>
      <w:tr w:rsidR="00335028" w:rsidRPr="00335028" w:rsidTr="00335028">
        <w:trPr>
          <w:trHeight w:val="253"/>
          <w:jc w:val="center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Bežné príjmy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175 613 428,04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166 251 797,08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147 289 398,59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135 795 819,62</w:t>
            </w:r>
          </w:p>
        </w:tc>
      </w:tr>
      <w:tr w:rsidR="00335028" w:rsidRPr="00335028" w:rsidTr="00335028">
        <w:trPr>
          <w:trHeight w:val="253"/>
          <w:jc w:val="center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Kapitálové príjmy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4 100 517,78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11 029 851,43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9 167 011,68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2 624 254,82</w:t>
            </w:r>
          </w:p>
        </w:tc>
      </w:tr>
      <w:tr w:rsidR="00335028" w:rsidRPr="00335028" w:rsidTr="00335028">
        <w:trPr>
          <w:trHeight w:val="253"/>
          <w:jc w:val="center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Výdavky rozpočtu BSK, z toho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165 892 193,11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178 038 151,46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158 471 023,82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142 101 408,00</w:t>
            </w:r>
          </w:p>
        </w:tc>
      </w:tr>
      <w:tr w:rsidR="00335028" w:rsidRPr="00335028" w:rsidTr="00335028">
        <w:trPr>
          <w:trHeight w:val="253"/>
          <w:jc w:val="center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Bežné výdavky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155 827 379,05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154 227 381,70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134 035 609,80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127 670 125,96</w:t>
            </w:r>
          </w:p>
        </w:tc>
      </w:tr>
      <w:tr w:rsidR="00335028" w:rsidRPr="00335028" w:rsidTr="00335028">
        <w:trPr>
          <w:trHeight w:val="253"/>
          <w:jc w:val="center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Kapitálové výdavky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10 064 814,06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23 810 769,76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24 435 414,02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14 431 282,04</w:t>
            </w:r>
          </w:p>
        </w:tc>
      </w:tr>
      <w:tr w:rsidR="00335028" w:rsidRPr="00335028" w:rsidTr="00335028">
        <w:trPr>
          <w:trHeight w:val="253"/>
          <w:jc w:val="center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335028" w:rsidRPr="00335028" w:rsidRDefault="00335028" w:rsidP="00335028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Bilancia rozpočtu celkom (bez FO)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13 821 752,71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-756 502,95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-2 014 613,55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-3 681 333,56</w:t>
            </w:r>
          </w:p>
        </w:tc>
      </w:tr>
      <w:tr w:rsidR="00335028" w:rsidRPr="00335028" w:rsidTr="00335028">
        <w:trPr>
          <w:trHeight w:val="253"/>
          <w:jc w:val="center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335028" w:rsidRPr="00335028" w:rsidRDefault="00335028" w:rsidP="00335028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 xml:space="preserve">Bilancia bežného rozpočtu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19 786 048,99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12 024 415,38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13 253 788,79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8 125 693,66</w:t>
            </w:r>
          </w:p>
        </w:tc>
      </w:tr>
      <w:tr w:rsidR="00335028" w:rsidRPr="00335028" w:rsidTr="00335028">
        <w:trPr>
          <w:trHeight w:val="253"/>
          <w:jc w:val="center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335028" w:rsidRPr="00335028" w:rsidRDefault="00335028" w:rsidP="00335028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 xml:space="preserve">Bilancia kapitálového rozpočtu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-5 964 296,28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-12 780 918,33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-15 268 402,34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-11 807 027,22</w:t>
            </w:r>
          </w:p>
        </w:tc>
      </w:tr>
      <w:tr w:rsidR="00335028" w:rsidRPr="00335028" w:rsidTr="00335028">
        <w:trPr>
          <w:trHeight w:val="253"/>
          <w:jc w:val="center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Príjmové finančné operácie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16 851 529,99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19 548 920,34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19 748 559,75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18 503 986,98</w:t>
            </w:r>
          </w:p>
        </w:tc>
      </w:tr>
      <w:tr w:rsidR="00335028" w:rsidRPr="00335028" w:rsidTr="00335028">
        <w:trPr>
          <w:trHeight w:val="253"/>
          <w:jc w:val="center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Výdavkové finančné operácie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4 556 130,35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4 085 016,79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3 793 545,27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Cs w:val="0"/>
                <w:sz w:val="18"/>
                <w:szCs w:val="18"/>
                <w:lang w:eastAsia="sk-SK"/>
              </w:rPr>
              <w:t>2 667 495,57</w:t>
            </w:r>
          </w:p>
        </w:tc>
      </w:tr>
      <w:tr w:rsidR="00335028" w:rsidRPr="00335028" w:rsidTr="00335028">
        <w:trPr>
          <w:trHeight w:val="253"/>
          <w:jc w:val="center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335028" w:rsidRPr="00335028" w:rsidRDefault="00335028" w:rsidP="00335028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Bilancia finančných operácií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12 295 399,64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15 463 903,55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15 955 014,48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15 836 491,41</w:t>
            </w:r>
          </w:p>
        </w:tc>
      </w:tr>
      <w:tr w:rsidR="00335028" w:rsidRPr="00335028" w:rsidTr="00335028">
        <w:trPr>
          <w:trHeight w:val="253"/>
          <w:jc w:val="center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Príjmy spolu vrátane FO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196 565 475,81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196 830 568,85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176 204 970,02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156 924 061,42</w:t>
            </w:r>
          </w:p>
        </w:tc>
      </w:tr>
      <w:tr w:rsidR="00335028" w:rsidRPr="00335028" w:rsidTr="00335028">
        <w:trPr>
          <w:trHeight w:val="253"/>
          <w:jc w:val="center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Výdavky spolu vrátane FO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170 448 323,46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182 123 168,25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162 264 569,09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144 768 903,57</w:t>
            </w:r>
          </w:p>
        </w:tc>
      </w:tr>
      <w:tr w:rsidR="00335028" w:rsidRPr="00335028" w:rsidTr="00335028">
        <w:trPr>
          <w:trHeight w:val="253"/>
          <w:jc w:val="center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proofErr w:type="spellStart"/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Bilanc</w:t>
            </w:r>
            <w:proofErr w:type="spellEnd"/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. rozpočtu vrátane FO celkom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26 117 152,35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14 707 400,60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13 940 400,93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12 155 157,85</w:t>
            </w:r>
          </w:p>
        </w:tc>
      </w:tr>
      <w:tr w:rsidR="00335028" w:rsidRPr="00335028" w:rsidTr="00335028">
        <w:trPr>
          <w:trHeight w:val="253"/>
          <w:jc w:val="center"/>
        </w:trPr>
        <w:tc>
          <w:tcPr>
            <w:tcW w:w="2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HV vrátane FO po úprave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21 834 511,77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11 049 055,75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11 614 546,86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335028" w:rsidRPr="00335028" w:rsidRDefault="00335028" w:rsidP="00335028">
            <w:pPr>
              <w:jc w:val="right"/>
              <w:rPr>
                <w:rFonts w:ascii="Calibri" w:hAnsi="Calibri" w:cs="Calibri"/>
                <w:b/>
                <w:sz w:val="18"/>
                <w:szCs w:val="18"/>
                <w:lang w:eastAsia="sk-SK"/>
              </w:rPr>
            </w:pPr>
            <w:r w:rsidRPr="00335028">
              <w:rPr>
                <w:rFonts w:ascii="Calibri" w:hAnsi="Calibri" w:cs="Calibri"/>
                <w:b/>
                <w:sz w:val="18"/>
                <w:szCs w:val="18"/>
                <w:lang w:eastAsia="sk-SK"/>
              </w:rPr>
              <w:t>4 799 156,70</w:t>
            </w:r>
          </w:p>
        </w:tc>
      </w:tr>
    </w:tbl>
    <w:p w:rsidR="001F1C2D" w:rsidRPr="00026946" w:rsidRDefault="00933AF5" w:rsidP="00CE308B">
      <w:pPr>
        <w:pStyle w:val="Nadpis3"/>
        <w:ind w:firstLine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2694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Z</w:t>
      </w:r>
      <w:r w:rsidR="009810D7" w:rsidRPr="0002694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  tabuľky</w:t>
      </w:r>
      <w:r w:rsidR="00862ED4" w:rsidRPr="0002694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č. </w:t>
      </w:r>
      <w:r w:rsidR="00026946" w:rsidRPr="0002694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5</w:t>
      </w:r>
      <w:r w:rsidRPr="0002694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je zrejmé, že</w:t>
      </w:r>
      <w:r w:rsidR="009810D7" w:rsidRPr="0002694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skutočné čerpanie rozpočt</w:t>
      </w:r>
      <w:r w:rsidR="00026946" w:rsidRPr="0002694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u</w:t>
      </w:r>
      <w:r w:rsidR="009810D7" w:rsidRPr="0002694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(rozdiel medzi príjmami a</w:t>
      </w:r>
      <w:r w:rsidR="00026946" w:rsidRPr="0002694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 </w:t>
      </w:r>
      <w:r w:rsidR="009810D7" w:rsidRPr="0002694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výdavkami</w:t>
      </w:r>
      <w:r w:rsidR="00026946" w:rsidRPr="0002694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bez finančných operácií</w:t>
      </w:r>
      <w:r w:rsidR="009810D7" w:rsidRPr="0002694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) v</w:t>
      </w:r>
      <w:r w:rsidR="0032247F" w:rsidRPr="0002694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 roku 20</w:t>
      </w:r>
      <w:r w:rsidR="00026946" w:rsidRPr="0002694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20</w:t>
      </w:r>
      <w:r w:rsidR="0032247F" w:rsidRPr="0002694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skončilo prebytkom</w:t>
      </w:r>
      <w:r w:rsidR="00026946" w:rsidRPr="0002694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vo výške </w:t>
      </w:r>
      <w:r w:rsidR="00026946" w:rsidRPr="00026946">
        <w:rPr>
          <w:rFonts w:asciiTheme="minorHAnsi" w:hAnsiTheme="minorHAnsi" w:cstheme="minorHAnsi"/>
          <w:color w:val="000000" w:themeColor="text1"/>
          <w:sz w:val="22"/>
          <w:szCs w:val="22"/>
        </w:rPr>
        <w:t>13 821 752,71 EUR</w:t>
      </w:r>
      <w:r w:rsidR="00026946" w:rsidRPr="0002694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, čo predstavuje výrazný nárast v porovnaní s rokom 2019, kedy bola vykázaná strata vo výške </w:t>
      </w:r>
      <w:r w:rsidR="00026946" w:rsidRPr="00026946">
        <w:rPr>
          <w:rFonts w:asciiTheme="minorHAnsi" w:hAnsiTheme="minorHAnsi" w:cstheme="minorHAnsi"/>
          <w:color w:val="000000" w:themeColor="text1"/>
          <w:sz w:val="22"/>
          <w:szCs w:val="22"/>
        </w:rPr>
        <w:t>-756 502,95 EUR</w:t>
      </w:r>
      <w:r w:rsidR="0032247F" w:rsidRPr="0002694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.</w:t>
      </w:r>
      <w:r w:rsidR="00274648" w:rsidRPr="0002694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</w:t>
      </w:r>
    </w:p>
    <w:p w:rsidR="009810D7" w:rsidRPr="006E47B6" w:rsidRDefault="009810D7" w:rsidP="00D96C66">
      <w:pPr>
        <w:pStyle w:val="Nadpis3"/>
        <w:ind w:firstLine="708"/>
        <w:jc w:val="both"/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</w:pPr>
      <w:r w:rsidRPr="006E47B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Príjmy rozpočtu BSK (bez finančných operácií) v roku 20</w:t>
      </w:r>
      <w:r w:rsidR="00026946" w:rsidRPr="006E47B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20</w:t>
      </w:r>
      <w:r w:rsidRPr="006E47B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</w:t>
      </w:r>
      <w:r w:rsidR="00026946" w:rsidRPr="006E47B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boli vo výške </w:t>
      </w:r>
      <w:r w:rsidR="006E47B6" w:rsidRPr="006E47B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179 713 945,82 EUR </w:t>
      </w:r>
      <w:r w:rsidR="006E47B6" w:rsidRPr="006E47B6">
        <w:rPr>
          <w:rFonts w:asciiTheme="minorHAnsi" w:hAnsiTheme="minorHAnsi" w:cstheme="minorHAnsi"/>
          <w:b w:val="0"/>
          <w:i/>
          <w:color w:val="000000" w:themeColor="text1"/>
          <w:sz w:val="22"/>
          <w:szCs w:val="22"/>
        </w:rPr>
        <w:t xml:space="preserve">(2019 = </w:t>
      </w:r>
      <w:r w:rsidR="00D96C66" w:rsidRPr="006E47B6">
        <w:rPr>
          <w:rFonts w:ascii="Calibri" w:hAnsi="Calibri" w:cs="Calibri"/>
          <w:b w:val="0"/>
          <w:i/>
          <w:color w:val="000000" w:themeColor="text1"/>
          <w:sz w:val="22"/>
          <w:szCs w:val="22"/>
          <w:lang w:eastAsia="sk-SK"/>
        </w:rPr>
        <w:t>177 281 648,51</w:t>
      </w:r>
      <w:r w:rsidR="001F1012" w:rsidRPr="006E47B6">
        <w:rPr>
          <w:rFonts w:asciiTheme="minorHAnsi" w:hAnsiTheme="minorHAnsi" w:cstheme="minorHAnsi"/>
          <w:b w:val="0"/>
          <w:i/>
          <w:color w:val="000000" w:themeColor="text1"/>
          <w:sz w:val="22"/>
          <w:szCs w:val="22"/>
        </w:rPr>
        <w:t xml:space="preserve"> </w:t>
      </w:r>
      <w:r w:rsidR="006E47B6" w:rsidRPr="006E47B6">
        <w:rPr>
          <w:rFonts w:asciiTheme="minorHAnsi" w:hAnsiTheme="minorHAnsi" w:cstheme="minorHAnsi"/>
          <w:b w:val="0"/>
          <w:i/>
          <w:color w:val="000000" w:themeColor="text1"/>
          <w:sz w:val="22"/>
          <w:szCs w:val="22"/>
        </w:rPr>
        <w:t>EUR)</w:t>
      </w:r>
      <w:r w:rsidRPr="006E47B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.</w:t>
      </w:r>
      <w:r w:rsidRPr="006E47B6"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  <w:lang w:eastAsia="sk-SK"/>
        </w:rPr>
        <w:t xml:space="preserve"> </w:t>
      </w:r>
      <w:r w:rsidRPr="006E47B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V porovnaní s rokom 201</w:t>
      </w:r>
      <w:r w:rsidR="006E47B6" w:rsidRPr="006E47B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9</w:t>
      </w:r>
      <w:r w:rsidRPr="006E47B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</w:t>
      </w:r>
      <w:r w:rsidR="00332287" w:rsidRPr="006E47B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boli vyššie</w:t>
      </w:r>
      <w:r w:rsidR="00524112" w:rsidRPr="006E47B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</w:t>
      </w:r>
      <w:r w:rsidRPr="006E47B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o</w:t>
      </w:r>
      <w:r w:rsidR="006E47B6" w:rsidRPr="006E47B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 </w:t>
      </w:r>
      <w:r w:rsidR="006E47B6" w:rsidRPr="006E47B6">
        <w:rPr>
          <w:rFonts w:asciiTheme="minorHAnsi" w:hAnsiTheme="minorHAnsi" w:cstheme="minorHAnsi"/>
          <w:color w:val="000000" w:themeColor="text1"/>
          <w:sz w:val="22"/>
          <w:szCs w:val="22"/>
        </w:rPr>
        <w:t>2 432 297,31 EUR</w:t>
      </w:r>
      <w:r w:rsidR="006E47B6" w:rsidRPr="006E47B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>, t. j. o 1,37 %</w:t>
      </w:r>
      <w:r w:rsidRPr="006E47B6">
        <w:rPr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  <w:lang w:eastAsia="sk-SK"/>
        </w:rPr>
        <w:t>.</w:t>
      </w:r>
      <w:r w:rsidRPr="006E47B6">
        <w:rPr>
          <w:rFonts w:asciiTheme="minorHAnsi" w:hAnsiTheme="minorHAnsi" w:cstheme="minorHAnsi"/>
          <w:b w:val="0"/>
          <w:color w:val="000000" w:themeColor="text1"/>
          <w:sz w:val="22"/>
          <w:szCs w:val="22"/>
        </w:rPr>
        <w:t xml:space="preserve"> </w:t>
      </w:r>
    </w:p>
    <w:p w:rsidR="001850DF" w:rsidRPr="00D121D9" w:rsidRDefault="001850DF" w:rsidP="009810D7">
      <w:pPr>
        <w:ind w:firstLine="709"/>
        <w:jc w:val="both"/>
        <w:rPr>
          <w:rFonts w:asciiTheme="minorHAnsi" w:hAnsiTheme="minorHAnsi" w:cstheme="minorHAnsi"/>
          <w:b/>
          <w:color w:val="FF0000"/>
          <w:sz w:val="22"/>
          <w:szCs w:val="22"/>
          <w:highlight w:val="yellow"/>
        </w:rPr>
      </w:pPr>
    </w:p>
    <w:p w:rsidR="009810D7" w:rsidRPr="00FC159B" w:rsidRDefault="00F42E01" w:rsidP="009810D7">
      <w:pPr>
        <w:ind w:firstLine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>Výdavky</w:t>
      </w:r>
      <w:r w:rsidR="009810D7"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F61444"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rozpočtu </w:t>
      </w:r>
      <w:r w:rsidR="009810D7"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>BSK (</w:t>
      </w:r>
      <w:r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bez finančných operácií) v roku 2020 boli vo výške </w:t>
      </w:r>
      <w:r w:rsidRPr="00FC159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165 892 193,11 EUR</w:t>
      </w:r>
      <w:r w:rsidR="009810D7"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FC159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(2019 =</w:t>
      </w:r>
      <w:r w:rsidR="00F61444" w:rsidRPr="00FC159B">
        <w:rPr>
          <w:rFonts w:ascii="Calibri" w:hAnsi="Calibri" w:cs="Calibri"/>
          <w:i/>
          <w:color w:val="000000" w:themeColor="text1"/>
          <w:sz w:val="22"/>
          <w:szCs w:val="22"/>
          <w:lang w:eastAsia="sk-SK"/>
        </w:rPr>
        <w:t>178 038 151,46</w:t>
      </w:r>
      <w:r w:rsidR="001F1012" w:rsidRPr="00FC159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Pr="00FC159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EUR)</w:t>
      </w:r>
      <w:r w:rsidR="009810D7"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Medziročne  </w:t>
      </w:r>
      <w:r w:rsidR="00524112"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>objem výdavkov rozpočtu</w:t>
      </w:r>
      <w:r w:rsidR="00F13EB0"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F1012"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>v roku</w:t>
      </w:r>
      <w:r w:rsidR="00F13EB0"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20</w:t>
      </w:r>
      <w:r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="00524112"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>klesol</w:t>
      </w:r>
      <w:r w:rsidR="00524112"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810D7"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="00FC159B"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FC159B" w:rsidRPr="00FC159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12 145 958,35 EUR</w:t>
      </w:r>
      <w:r w:rsidR="00FC159B"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>, t. j. o</w:t>
      </w:r>
      <w:r w:rsidR="009E30C4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FC159B"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>7,32</w:t>
      </w:r>
      <w:r w:rsidR="009810D7"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%</w:t>
      </w:r>
      <w:r w:rsidR="00FC159B"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>, a to z dôvodu nižšieho čerpania kapitálových výdavkov</w:t>
      </w:r>
      <w:r w:rsidR="009810D7" w:rsidRPr="00FC159B">
        <w:rPr>
          <w:rFonts w:asciiTheme="minorHAnsi" w:hAnsiTheme="minorHAnsi" w:cstheme="minorHAnsi"/>
          <w:color w:val="000000" w:themeColor="text1"/>
          <w:sz w:val="22"/>
          <w:szCs w:val="22"/>
        </w:rPr>
        <w:t>. </w:t>
      </w:r>
    </w:p>
    <w:p w:rsidR="009810D7" w:rsidRPr="00D121D9" w:rsidRDefault="009810D7" w:rsidP="009810D7">
      <w:pPr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815A1C" w:rsidRPr="00540059" w:rsidRDefault="00881EE9" w:rsidP="00881EE9">
      <w:pPr>
        <w:ind w:firstLine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>V roku 20</w:t>
      </w:r>
      <w:r w:rsidR="00EB5730"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B5730"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mal </w:t>
      </w:r>
      <w:r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>BSK</w:t>
      </w:r>
      <w:r w:rsidR="00CB31B2"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>príjmové finančné operácie v</w:t>
      </w:r>
      <w:r w:rsidR="00EB5730"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>o výške</w:t>
      </w:r>
      <w:r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B5730" w:rsidRPr="0054005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16 851 </w:t>
      </w:r>
      <w:r w:rsidR="00540059" w:rsidRPr="0054005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5</w:t>
      </w:r>
      <w:r w:rsidR="00EB5730" w:rsidRPr="0054005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29,99 EUR </w:t>
      </w:r>
      <w:r w:rsidR="00EB5730" w:rsidRPr="0054005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(2019 = </w:t>
      </w:r>
      <w:r w:rsidR="00CB31B2" w:rsidRPr="00540059">
        <w:rPr>
          <w:rFonts w:ascii="Calibri" w:hAnsi="Calibri" w:cs="Calibri"/>
          <w:bCs w:val="0"/>
          <w:i/>
          <w:color w:val="000000" w:themeColor="text1"/>
          <w:sz w:val="22"/>
          <w:szCs w:val="22"/>
          <w:lang w:eastAsia="sk-SK"/>
        </w:rPr>
        <w:t>19 548 920,34</w:t>
      </w:r>
      <w:r w:rsidR="00CB795E" w:rsidRPr="0054005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="00EB5730" w:rsidRPr="0054005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EUR)</w:t>
      </w:r>
      <w:r w:rsidRPr="00540059">
        <w:rPr>
          <w:rFonts w:asciiTheme="minorHAnsi" w:hAnsiTheme="minorHAnsi" w:cstheme="minorHAnsi"/>
          <w:color w:val="000000" w:themeColor="text1"/>
          <w:sz w:val="22"/>
          <w:szCs w:val="22"/>
          <w:lang w:eastAsia="sk-SK"/>
        </w:rPr>
        <w:t>. V</w:t>
      </w:r>
      <w:r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> porovnaní s rokom 201</w:t>
      </w:r>
      <w:r w:rsidR="00EB5730"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>9</w:t>
      </w:r>
      <w:r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bol objem príjmových finančných operácií </w:t>
      </w:r>
      <w:r w:rsidR="00CB31B2"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>nižší</w:t>
      </w:r>
      <w:r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</w:t>
      </w:r>
      <w:r w:rsidR="00EB5730"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EB5730" w:rsidRPr="0054005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2 697 </w:t>
      </w:r>
      <w:r w:rsidR="00540059" w:rsidRPr="0054005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3</w:t>
      </w:r>
      <w:r w:rsidR="00EB5730" w:rsidRPr="0054005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90,35 EUR</w:t>
      </w:r>
      <w:r w:rsidR="00EB5730"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>, t. j. o</w:t>
      </w:r>
      <w:r w:rsidR="00540059"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> 16,01 %</w:t>
      </w:r>
      <w:r w:rsidRPr="00540059">
        <w:rPr>
          <w:rFonts w:asciiTheme="minorHAnsi" w:hAnsiTheme="minorHAnsi" w:cstheme="minorHAnsi"/>
          <w:color w:val="000000" w:themeColor="text1"/>
          <w:sz w:val="22"/>
          <w:szCs w:val="22"/>
          <w:lang w:eastAsia="sk-SK"/>
        </w:rPr>
        <w:t>.</w:t>
      </w:r>
      <w:r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> Výdavkové finančné operácie v</w:t>
      </w:r>
      <w:r w:rsidR="00DD57E8"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objeme</w:t>
      </w:r>
      <w:r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40059"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4 556 130,35 EUR </w:t>
      </w:r>
      <w:r w:rsidR="00540059" w:rsidRPr="0054005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(2019 = </w:t>
      </w:r>
      <w:r w:rsidR="00B47B62" w:rsidRPr="00540059">
        <w:rPr>
          <w:rFonts w:ascii="Calibri" w:hAnsi="Calibri" w:cs="Calibri"/>
          <w:bCs w:val="0"/>
          <w:i/>
          <w:color w:val="000000" w:themeColor="text1"/>
          <w:sz w:val="22"/>
          <w:szCs w:val="22"/>
          <w:lang w:eastAsia="sk-SK"/>
        </w:rPr>
        <w:t>4 085 016,79</w:t>
      </w:r>
      <w:r w:rsidR="00CB795E" w:rsidRPr="0054005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="00540059" w:rsidRPr="0054005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EUR)</w:t>
      </w:r>
      <w:r w:rsidR="00CE304E" w:rsidRPr="0054005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="00B47B62"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>b</w:t>
      </w:r>
      <w:r w:rsidR="00CE304E"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>oli</w:t>
      </w:r>
      <w:r w:rsidR="00B47B62"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 porovnaní s rokom 201</w:t>
      </w:r>
      <w:r w:rsidR="00540059"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>9</w:t>
      </w:r>
      <w:r w:rsidR="00B47B62"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vyššie o</w:t>
      </w:r>
      <w:r w:rsidR="00540059"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540059" w:rsidRPr="0054005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471 113,56 EUR</w:t>
      </w:r>
      <w:r w:rsidR="00540059"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t. j. o 10,34 </w:t>
      </w:r>
      <w:r w:rsidR="00B47B62"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>%</w:t>
      </w:r>
      <w:r w:rsidR="00CE304E" w:rsidRPr="0054005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CB31B2" w:rsidRDefault="00CB31B2" w:rsidP="005269A9">
      <w:pPr>
        <w:pStyle w:val="Zkladntext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9810D7" w:rsidRPr="00540059" w:rsidRDefault="005269A9" w:rsidP="005269A9">
      <w:pPr>
        <w:pStyle w:val="Zkladntex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4005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1.3     </w:t>
      </w:r>
      <w:r w:rsidR="009810D7" w:rsidRPr="0054005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Celkové čerpanie rozpočtu a výsledok hospodárenia</w:t>
      </w:r>
    </w:p>
    <w:p w:rsidR="00232CB7" w:rsidRPr="00D121D9" w:rsidRDefault="00232CB7" w:rsidP="00881EE9">
      <w:pPr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881EE9" w:rsidRPr="00D34D73" w:rsidRDefault="00881EE9" w:rsidP="00881EE9">
      <w:pPr>
        <w:ind w:firstLine="708"/>
        <w:jc w:val="both"/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</w:pPr>
      <w:r w:rsidRPr="00D34D7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 tabuľky č. </w:t>
      </w:r>
      <w:r w:rsidR="00540059" w:rsidRPr="00D34D73">
        <w:rPr>
          <w:rFonts w:asciiTheme="minorHAnsi" w:hAnsiTheme="minorHAnsi" w:cstheme="minorHAnsi"/>
          <w:color w:val="000000" w:themeColor="text1"/>
          <w:sz w:val="22"/>
          <w:szCs w:val="22"/>
        </w:rPr>
        <w:t>5</w:t>
      </w:r>
      <w:r w:rsidRPr="00D34D7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 zrejmé, že bežný rozpočet BSK za rok 20</w:t>
      </w:r>
      <w:r w:rsidR="004F2485" w:rsidRPr="00D34D73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Pr="00D34D7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82E8B" w:rsidRPr="00D34D73">
        <w:rPr>
          <w:rFonts w:asciiTheme="minorHAnsi" w:hAnsiTheme="minorHAnsi" w:cstheme="minorHAnsi"/>
          <w:color w:val="000000" w:themeColor="text1"/>
          <w:sz w:val="22"/>
          <w:szCs w:val="22"/>
        </w:rPr>
        <w:t>skončil s prebytkom</w:t>
      </w:r>
      <w:r w:rsidRPr="00D34D7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 sume </w:t>
      </w:r>
      <w:r w:rsidR="00540059" w:rsidRPr="00D34D7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19 786 048,99</w:t>
      </w:r>
      <w:r w:rsidR="009E30C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 </w:t>
      </w:r>
      <w:r w:rsidR="00540059" w:rsidRPr="00D34D7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EUR</w:t>
      </w:r>
      <w:r w:rsidR="00D34D73" w:rsidRPr="00D34D7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D34D73" w:rsidRPr="00D34D7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(2019 = </w:t>
      </w:r>
      <w:r w:rsidR="00B76096" w:rsidRPr="00D34D7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1</w:t>
      </w:r>
      <w:r w:rsidR="00C225BE" w:rsidRPr="00D34D7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2 024 415,38 </w:t>
      </w:r>
      <w:r w:rsidR="00D34D73" w:rsidRPr="00D34D7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EUR)</w:t>
      </w:r>
      <w:r w:rsidR="00C225BE" w:rsidRPr="00D34D73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 xml:space="preserve">. Prebytok bežného rozpočtu bol </w:t>
      </w:r>
      <w:r w:rsidR="00D34D73" w:rsidRPr="00D34D73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>vyšší</w:t>
      </w:r>
      <w:r w:rsidR="00C225BE" w:rsidRPr="00D34D73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 xml:space="preserve"> </w:t>
      </w:r>
      <w:r w:rsidR="00B4728B" w:rsidRPr="00D34D73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>o</w:t>
      </w:r>
      <w:r w:rsidR="00D34D73" w:rsidRPr="00D34D73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> </w:t>
      </w:r>
      <w:r w:rsidR="00D34D73" w:rsidRPr="00D34D73">
        <w:rPr>
          <w:rFonts w:asciiTheme="minorHAnsi" w:hAnsiTheme="minorHAnsi" w:cstheme="minorHAnsi"/>
          <w:b/>
          <w:bCs w:val="0"/>
          <w:color w:val="000000" w:themeColor="text1"/>
          <w:sz w:val="22"/>
          <w:szCs w:val="22"/>
          <w:lang w:eastAsia="sk-SK"/>
        </w:rPr>
        <w:t>7 761 633,61 EUR</w:t>
      </w:r>
      <w:r w:rsidR="00F214F3" w:rsidRPr="00D34D7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F214F3" w:rsidRPr="00D34D73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="00C225BE" w:rsidRPr="00D34D73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> porovnaní s prebytkom bežného rozpočtu roka 201</w:t>
      </w:r>
      <w:r w:rsidR="00D34D73" w:rsidRPr="00D34D73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>9</w:t>
      </w:r>
      <w:r w:rsidR="00F214F3" w:rsidRPr="00D34D73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>.</w:t>
      </w:r>
      <w:r w:rsidR="00B4728B" w:rsidRPr="00D34D7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:rsidR="00C11CAD" w:rsidRPr="00A0159E" w:rsidRDefault="00881EE9" w:rsidP="00177BF4">
      <w:pPr>
        <w:ind w:firstLine="70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Kapitálový rozpočet BSK za rok 20</w:t>
      </w:r>
      <w:r w:rsidR="0018169E"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82E8B"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>skončil so schodkom</w:t>
      </w:r>
      <w:r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</w:t>
      </w:r>
      <w:r w:rsidR="00363F4D"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 výške </w:t>
      </w:r>
      <w:r w:rsidR="0018169E" w:rsidRPr="00A0159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-5 964 296,28 EUR </w:t>
      </w:r>
      <w:r w:rsidR="0018169E" w:rsidRPr="00A0159E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(2019 = </w:t>
      </w:r>
      <w:r w:rsidR="00363F4D" w:rsidRPr="00A0159E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-</w:t>
      </w:r>
      <w:r w:rsidR="009E30C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 </w:t>
      </w:r>
      <w:r w:rsidR="00363F4D" w:rsidRPr="00A0159E">
        <w:rPr>
          <w:rFonts w:ascii="Calibri" w:hAnsi="Calibri" w:cs="Calibri"/>
          <w:bCs w:val="0"/>
          <w:i/>
          <w:color w:val="000000" w:themeColor="text1"/>
          <w:sz w:val="22"/>
          <w:szCs w:val="22"/>
          <w:lang w:eastAsia="sk-SK"/>
        </w:rPr>
        <w:t>2</w:t>
      </w:r>
      <w:r w:rsidR="009E30C4">
        <w:rPr>
          <w:rFonts w:ascii="Calibri" w:hAnsi="Calibri" w:cs="Calibri"/>
          <w:bCs w:val="0"/>
          <w:i/>
          <w:color w:val="000000" w:themeColor="text1"/>
          <w:sz w:val="22"/>
          <w:szCs w:val="22"/>
          <w:lang w:eastAsia="sk-SK"/>
        </w:rPr>
        <w:t> </w:t>
      </w:r>
      <w:r w:rsidR="00363F4D" w:rsidRPr="00A0159E">
        <w:rPr>
          <w:rFonts w:ascii="Calibri" w:hAnsi="Calibri" w:cs="Calibri"/>
          <w:bCs w:val="0"/>
          <w:i/>
          <w:color w:val="000000" w:themeColor="text1"/>
          <w:sz w:val="22"/>
          <w:szCs w:val="22"/>
          <w:lang w:eastAsia="sk-SK"/>
        </w:rPr>
        <w:t>780</w:t>
      </w:r>
      <w:r w:rsidR="009E30C4">
        <w:rPr>
          <w:rFonts w:ascii="Calibri" w:hAnsi="Calibri" w:cs="Calibri"/>
          <w:bCs w:val="0"/>
          <w:i/>
          <w:color w:val="000000" w:themeColor="text1"/>
          <w:sz w:val="22"/>
          <w:szCs w:val="22"/>
          <w:lang w:eastAsia="sk-SK"/>
        </w:rPr>
        <w:t> </w:t>
      </w:r>
      <w:r w:rsidR="00363F4D" w:rsidRPr="00A0159E">
        <w:rPr>
          <w:rFonts w:ascii="Calibri" w:hAnsi="Calibri" w:cs="Calibri"/>
          <w:bCs w:val="0"/>
          <w:i/>
          <w:color w:val="000000" w:themeColor="text1"/>
          <w:sz w:val="22"/>
          <w:szCs w:val="22"/>
          <w:lang w:eastAsia="sk-SK"/>
        </w:rPr>
        <w:t>918,33</w:t>
      </w:r>
      <w:r w:rsidR="0018169E" w:rsidRPr="00A0159E">
        <w:rPr>
          <w:rFonts w:ascii="Calibri" w:hAnsi="Calibri" w:cs="Calibri"/>
          <w:bCs w:val="0"/>
          <w:i/>
          <w:color w:val="000000" w:themeColor="text1"/>
          <w:sz w:val="22"/>
          <w:szCs w:val="22"/>
          <w:lang w:eastAsia="sk-SK"/>
        </w:rPr>
        <w:t xml:space="preserve"> EUR)</w:t>
      </w:r>
      <w:r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>. V porovnaní s rokom 201</w:t>
      </w:r>
      <w:r w:rsidR="0018169E"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>9</w:t>
      </w:r>
      <w:r w:rsidR="0087365F"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bol vykázaný schodok </w:t>
      </w:r>
      <w:r w:rsidR="00363F4D"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>nižší</w:t>
      </w:r>
      <w:r w:rsidR="00CA35DE"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</w:t>
      </w:r>
      <w:r w:rsidR="0018169E"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18169E" w:rsidRPr="00A0159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6 816 622,05 EUR</w:t>
      </w:r>
      <w:r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Čerpanie kapitálových výdavkov </w:t>
      </w:r>
      <w:r w:rsidR="00CA35DE"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sa </w:t>
      </w:r>
      <w:r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medziročne </w:t>
      </w:r>
      <w:r w:rsidR="00F35DE3"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>znížilo</w:t>
      </w:r>
      <w:r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</w:t>
      </w:r>
      <w:r w:rsidR="00A0159E" w:rsidRPr="00A0159E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> </w:t>
      </w:r>
      <w:r w:rsidR="00A0159E" w:rsidRPr="00A0159E">
        <w:rPr>
          <w:rFonts w:asciiTheme="minorHAnsi" w:hAnsiTheme="minorHAnsi" w:cstheme="minorHAnsi"/>
          <w:b/>
          <w:bCs w:val="0"/>
          <w:color w:val="000000" w:themeColor="text1"/>
          <w:sz w:val="22"/>
          <w:szCs w:val="22"/>
          <w:lang w:eastAsia="sk-SK"/>
        </w:rPr>
        <w:t>13 745 955,70 EUR</w:t>
      </w:r>
      <w:r w:rsidR="00A0159E" w:rsidRPr="00A0159E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>, t. j. o 57,73 %</w:t>
      </w:r>
      <w:r w:rsidRPr="00A0159E">
        <w:rPr>
          <w:rFonts w:asciiTheme="minorHAnsi" w:hAnsiTheme="minorHAnsi" w:cstheme="minorHAnsi"/>
          <w:bCs w:val="0"/>
          <w:color w:val="000000" w:themeColor="text1"/>
          <w:sz w:val="22"/>
          <w:szCs w:val="22"/>
          <w:lang w:eastAsia="sk-SK"/>
        </w:rPr>
        <w:t xml:space="preserve">. </w:t>
      </w:r>
      <w:r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>Vykázaný schodok kapitálového rozpočtu za rok 20</w:t>
      </w:r>
      <w:r w:rsidR="00A0159E"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bol krytý z prebytku bežného rozpočtu a plusového rozdielu, ktorý vznikol medzi príjmovými a výdavkovými finančnými operáciami.</w:t>
      </w:r>
      <w:r w:rsidR="00C11CAD"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:rsidR="00177BF4" w:rsidRPr="00D121D9" w:rsidRDefault="00177BF4" w:rsidP="00177BF4">
      <w:pPr>
        <w:ind w:firstLine="708"/>
        <w:jc w:val="both"/>
        <w:rPr>
          <w:rFonts w:asciiTheme="minorHAnsi" w:hAnsiTheme="minorHAnsi" w:cstheme="minorHAnsi"/>
          <w:bCs w:val="0"/>
          <w:color w:val="FF0000"/>
          <w:sz w:val="22"/>
          <w:szCs w:val="22"/>
          <w:lang w:eastAsia="sk-SK"/>
        </w:rPr>
      </w:pPr>
    </w:p>
    <w:p w:rsidR="00881EE9" w:rsidRPr="00A0159E" w:rsidRDefault="00881EE9" w:rsidP="00881EE9">
      <w:pPr>
        <w:ind w:firstLine="708"/>
        <w:jc w:val="both"/>
        <w:rPr>
          <w:rFonts w:asciiTheme="minorHAnsi" w:hAnsiTheme="minorHAnsi" w:cstheme="minorHAnsi"/>
          <w:bCs w:val="0"/>
          <w:i/>
          <w:color w:val="000000" w:themeColor="text1"/>
          <w:sz w:val="22"/>
          <w:szCs w:val="22"/>
          <w:lang w:eastAsia="sk-SK"/>
        </w:rPr>
      </w:pPr>
      <w:r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>Rozdiel medzi príjmovými a výdavkovými finančnými operáciami bol pri plnení rozpočtu BSK v roku 20</w:t>
      </w:r>
      <w:r w:rsidR="00A0159E"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Pr="00A015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vykázaný v sume </w:t>
      </w:r>
      <w:r w:rsidR="00A0159E" w:rsidRPr="00A0159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12 295 399,64 EUR </w:t>
      </w:r>
      <w:r w:rsidR="00A0159E" w:rsidRPr="00A0159E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(2019 = </w:t>
      </w:r>
      <w:r w:rsidR="00BF0930" w:rsidRPr="00A0159E">
        <w:rPr>
          <w:rFonts w:ascii="Calibri" w:hAnsi="Calibri" w:cs="Calibri"/>
          <w:bCs w:val="0"/>
          <w:i/>
          <w:color w:val="000000" w:themeColor="text1"/>
          <w:sz w:val="22"/>
          <w:szCs w:val="22"/>
          <w:lang w:eastAsia="sk-SK"/>
        </w:rPr>
        <w:t>15 463 903,55</w:t>
      </w:r>
      <w:r w:rsidRPr="00A0159E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="00A0159E" w:rsidRPr="00A0159E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EUR)</w:t>
      </w:r>
      <w:r w:rsidRPr="00A0159E">
        <w:rPr>
          <w:rFonts w:asciiTheme="minorHAnsi" w:hAnsiTheme="minorHAnsi" w:cstheme="minorHAnsi"/>
          <w:bCs w:val="0"/>
          <w:i/>
          <w:color w:val="000000" w:themeColor="text1"/>
          <w:sz w:val="22"/>
          <w:szCs w:val="22"/>
          <w:lang w:eastAsia="sk-SK"/>
        </w:rPr>
        <w:t>.</w:t>
      </w:r>
    </w:p>
    <w:p w:rsidR="00294410" w:rsidRPr="00D121D9" w:rsidRDefault="00294410" w:rsidP="00881EE9">
      <w:pPr>
        <w:ind w:firstLine="708"/>
        <w:jc w:val="both"/>
        <w:rPr>
          <w:rFonts w:asciiTheme="minorHAnsi" w:hAnsiTheme="minorHAnsi" w:cstheme="minorHAnsi"/>
          <w:bCs w:val="0"/>
          <w:i/>
          <w:color w:val="FF0000"/>
          <w:sz w:val="22"/>
          <w:szCs w:val="22"/>
          <w:lang w:eastAsia="sk-SK"/>
        </w:rPr>
      </w:pPr>
    </w:p>
    <w:p w:rsidR="009810D7" w:rsidRPr="00335028" w:rsidRDefault="009810D7" w:rsidP="009810D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35028">
        <w:rPr>
          <w:rFonts w:asciiTheme="minorHAnsi" w:hAnsiTheme="minorHAnsi" w:cstheme="minorHAnsi"/>
          <w:sz w:val="22"/>
          <w:szCs w:val="22"/>
        </w:rPr>
        <w:t>Z  finančných výkazov o plnení rozpočtu vyplýva, že rozpočtované finančné prostriedky boli v rok</w:t>
      </w:r>
      <w:r w:rsidR="00254005" w:rsidRPr="00335028">
        <w:rPr>
          <w:rFonts w:asciiTheme="minorHAnsi" w:hAnsiTheme="minorHAnsi" w:cstheme="minorHAnsi"/>
          <w:sz w:val="22"/>
          <w:szCs w:val="22"/>
        </w:rPr>
        <w:t>u</w:t>
      </w:r>
      <w:r w:rsidRPr="00335028">
        <w:rPr>
          <w:rFonts w:asciiTheme="minorHAnsi" w:hAnsiTheme="minorHAnsi" w:cstheme="minorHAnsi"/>
          <w:sz w:val="22"/>
          <w:szCs w:val="22"/>
        </w:rPr>
        <w:t xml:space="preserve"> 20</w:t>
      </w:r>
      <w:r w:rsidR="00335028" w:rsidRPr="00335028">
        <w:rPr>
          <w:rFonts w:asciiTheme="minorHAnsi" w:hAnsiTheme="minorHAnsi" w:cstheme="minorHAnsi"/>
          <w:sz w:val="22"/>
          <w:szCs w:val="22"/>
        </w:rPr>
        <w:t>20</w:t>
      </w:r>
      <w:r w:rsidRPr="00335028">
        <w:rPr>
          <w:rFonts w:asciiTheme="minorHAnsi" w:hAnsiTheme="minorHAnsi" w:cstheme="minorHAnsi"/>
          <w:sz w:val="22"/>
          <w:szCs w:val="22"/>
        </w:rPr>
        <w:t xml:space="preserve"> </w:t>
      </w:r>
      <w:r w:rsidR="00254005" w:rsidRPr="00335028">
        <w:rPr>
          <w:rFonts w:asciiTheme="minorHAnsi" w:hAnsiTheme="minorHAnsi" w:cstheme="minorHAnsi"/>
          <w:sz w:val="22"/>
          <w:szCs w:val="22"/>
        </w:rPr>
        <w:t xml:space="preserve">použité </w:t>
      </w:r>
      <w:r w:rsidRPr="00335028">
        <w:rPr>
          <w:rFonts w:asciiTheme="minorHAnsi" w:hAnsiTheme="minorHAnsi" w:cstheme="minorHAnsi"/>
          <w:sz w:val="22"/>
          <w:szCs w:val="22"/>
        </w:rPr>
        <w:t>na:</w:t>
      </w:r>
    </w:p>
    <w:p w:rsidR="00164EAA" w:rsidRPr="00A0159E" w:rsidRDefault="00164EAA" w:rsidP="00164EAA">
      <w:pPr>
        <w:ind w:firstLine="709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D121D9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                                 </w:t>
      </w:r>
      <w:r w:rsidRPr="00A015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tabuľka č. </w:t>
      </w:r>
      <w:r w:rsidR="00A0159E" w:rsidRPr="00A0159E">
        <w:rPr>
          <w:rFonts w:asciiTheme="minorHAnsi" w:hAnsiTheme="minorHAnsi" w:cstheme="minorHAnsi"/>
          <w:color w:val="000000" w:themeColor="text1"/>
          <w:sz w:val="20"/>
          <w:szCs w:val="20"/>
        </w:rPr>
        <w:t>6</w:t>
      </w:r>
      <w:r w:rsidRPr="00A0159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(v </w:t>
      </w:r>
      <w:r w:rsidR="002838C7">
        <w:rPr>
          <w:rFonts w:asciiTheme="minorHAnsi" w:hAnsiTheme="minorHAnsi" w:cstheme="minorHAnsi"/>
          <w:color w:val="000000" w:themeColor="text1"/>
          <w:sz w:val="20"/>
          <w:szCs w:val="20"/>
        </w:rPr>
        <w:t>EUR</w:t>
      </w:r>
      <w:r w:rsidRPr="00A0159E">
        <w:rPr>
          <w:rFonts w:asciiTheme="minorHAnsi" w:hAnsiTheme="minorHAnsi" w:cstheme="minorHAnsi"/>
          <w:color w:val="000000" w:themeColor="text1"/>
          <w:sz w:val="20"/>
          <w:szCs w:val="20"/>
        </w:rPr>
        <w:t>)</w:t>
      </w:r>
    </w:p>
    <w:tbl>
      <w:tblPr>
        <w:tblW w:w="85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3080"/>
        <w:gridCol w:w="1600"/>
        <w:gridCol w:w="1700"/>
        <w:gridCol w:w="1620"/>
      </w:tblGrid>
      <w:tr w:rsidR="0069511F" w:rsidRPr="0069511F" w:rsidTr="0069511F">
        <w:trPr>
          <w:trHeight w:val="240"/>
          <w:jc w:val="center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69511F" w:rsidRPr="0069511F" w:rsidRDefault="0069511F" w:rsidP="0069511F">
            <w:pPr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EK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69511F" w:rsidRPr="0069511F" w:rsidRDefault="0069511F" w:rsidP="0069511F">
            <w:pPr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Názov účtu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:rsidR="0069511F" w:rsidRPr="0069511F" w:rsidRDefault="0069511F" w:rsidP="0069511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Schválený rozpočet na rok 2020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:rsidR="0069511F" w:rsidRPr="0069511F" w:rsidRDefault="0069511F" w:rsidP="0069511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Skutočnosť za rok 2020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:rsidR="0069511F" w:rsidRPr="0069511F" w:rsidRDefault="0069511F" w:rsidP="0069511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Skutočnosť za rok 2019</w:t>
            </w:r>
          </w:p>
        </w:tc>
      </w:tr>
      <w:tr w:rsidR="0069511F" w:rsidRPr="0069511F" w:rsidTr="0069511F">
        <w:trPr>
          <w:trHeight w:val="517"/>
          <w:jc w:val="center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11F" w:rsidRPr="0069511F" w:rsidRDefault="0069511F" w:rsidP="0069511F">
            <w:pPr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11F" w:rsidRPr="0069511F" w:rsidRDefault="0069511F" w:rsidP="0069511F">
            <w:pPr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11F" w:rsidRPr="0069511F" w:rsidRDefault="0069511F" w:rsidP="0069511F">
            <w:pPr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11F" w:rsidRPr="0069511F" w:rsidRDefault="0069511F" w:rsidP="0069511F">
            <w:pPr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11F" w:rsidRPr="0069511F" w:rsidRDefault="0069511F" w:rsidP="0069511F">
            <w:pPr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</w:p>
        </w:tc>
      </w:tr>
      <w:tr w:rsidR="0069511F" w:rsidRPr="0069511F" w:rsidTr="0069511F">
        <w:trPr>
          <w:trHeight w:val="24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610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 xml:space="preserve">Mzdy, platy, </w:t>
            </w:r>
            <w:proofErr w:type="spellStart"/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služ</w:t>
            </w:r>
            <w:proofErr w:type="spellEnd"/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 xml:space="preserve">.  príjmy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52 277 817,79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color w:val="00000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color w:val="000000"/>
                <w:sz w:val="18"/>
                <w:szCs w:val="18"/>
                <w:lang w:eastAsia="sk-SK"/>
              </w:rPr>
              <w:t>53 574 960,77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49 572 402,97</w:t>
            </w:r>
          </w:p>
        </w:tc>
      </w:tr>
      <w:tr w:rsidR="0069511F" w:rsidRPr="0069511F" w:rsidTr="0069511F">
        <w:trPr>
          <w:trHeight w:val="24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620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Poistné a príspevok do poisťovní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18 625 833,48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color w:val="00000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color w:val="000000"/>
                <w:sz w:val="18"/>
                <w:szCs w:val="18"/>
                <w:lang w:eastAsia="sk-SK"/>
              </w:rPr>
              <w:t>18 871 008,04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17 746 755,70</w:t>
            </w:r>
          </w:p>
        </w:tc>
      </w:tr>
      <w:tr w:rsidR="0069511F" w:rsidRPr="0069511F" w:rsidTr="0069511F">
        <w:trPr>
          <w:trHeight w:val="24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630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Tovary a služby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36 235 839,75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color w:val="00000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color w:val="000000"/>
                <w:sz w:val="18"/>
                <w:szCs w:val="18"/>
                <w:lang w:eastAsia="sk-SK"/>
              </w:rPr>
              <w:t>27 305 369,35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31 276 933,45</w:t>
            </w:r>
          </w:p>
        </w:tc>
      </w:tr>
      <w:tr w:rsidR="0069511F" w:rsidRPr="0069511F" w:rsidTr="0069511F">
        <w:trPr>
          <w:trHeight w:val="24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640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Bežné transfery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63 413 241,51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color w:val="00000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color w:val="000000"/>
                <w:sz w:val="18"/>
                <w:szCs w:val="18"/>
                <w:lang w:eastAsia="sk-SK"/>
              </w:rPr>
              <w:t>55 922 704,84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55 436 366,24</w:t>
            </w:r>
          </w:p>
        </w:tc>
      </w:tr>
      <w:tr w:rsidR="0069511F" w:rsidRPr="0069511F" w:rsidTr="0069511F">
        <w:trPr>
          <w:trHeight w:val="24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650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Splácanie úrokov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370 000,00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color w:val="00000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color w:val="000000"/>
                <w:sz w:val="18"/>
                <w:szCs w:val="18"/>
                <w:lang w:eastAsia="sk-SK"/>
              </w:rPr>
              <w:t>153 336,05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194 923,34</w:t>
            </w:r>
          </w:p>
        </w:tc>
      </w:tr>
      <w:tr w:rsidR="0069511F" w:rsidRPr="0069511F" w:rsidTr="0069511F">
        <w:trPr>
          <w:trHeight w:val="24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69511F" w:rsidRPr="0069511F" w:rsidRDefault="0069511F" w:rsidP="0069511F">
            <w:pPr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Bežné výdavky spolu: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170 922 732,53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sk-SK"/>
              </w:rPr>
              <w:t>155 827 379,05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154 227 381,70</w:t>
            </w:r>
          </w:p>
        </w:tc>
      </w:tr>
      <w:tr w:rsidR="0069511F" w:rsidRPr="0069511F" w:rsidTr="0069511F">
        <w:trPr>
          <w:trHeight w:val="24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710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Obstarávanie  kapitálových aktív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31 174 247,43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color w:val="00000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color w:val="000000"/>
                <w:sz w:val="18"/>
                <w:szCs w:val="18"/>
                <w:lang w:eastAsia="sk-SK"/>
              </w:rPr>
              <w:t>7 871 161,14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22 458 377,10</w:t>
            </w:r>
          </w:p>
        </w:tc>
      </w:tr>
      <w:tr w:rsidR="0069511F" w:rsidRPr="0069511F" w:rsidTr="0069511F">
        <w:trPr>
          <w:trHeight w:val="24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720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Kapitálové transfery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4 535 886,99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color w:val="00000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color w:val="000000"/>
                <w:sz w:val="18"/>
                <w:szCs w:val="18"/>
                <w:lang w:eastAsia="sk-SK"/>
              </w:rPr>
              <w:t>2 193 652,92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  <w:t>1 352 392,66</w:t>
            </w:r>
          </w:p>
        </w:tc>
      </w:tr>
      <w:tr w:rsidR="0069511F" w:rsidRPr="0069511F" w:rsidTr="0069511F">
        <w:trPr>
          <w:trHeight w:val="24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7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69511F" w:rsidRPr="0069511F" w:rsidRDefault="0069511F" w:rsidP="0069511F">
            <w:pPr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Kapitálové výdavky spolu: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35 710 134,42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sk-SK"/>
              </w:rPr>
              <w:t>10 064 814,06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23 810 769,76</w:t>
            </w:r>
          </w:p>
        </w:tc>
      </w:tr>
      <w:tr w:rsidR="0069511F" w:rsidRPr="0069511F" w:rsidTr="0069511F">
        <w:trPr>
          <w:trHeight w:val="24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8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69511F" w:rsidRPr="0069511F" w:rsidRDefault="0069511F" w:rsidP="0069511F">
            <w:pPr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proofErr w:type="spellStart"/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Výd</w:t>
            </w:r>
            <w:proofErr w:type="spellEnd"/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 xml:space="preserve">. </w:t>
            </w:r>
            <w:proofErr w:type="spellStart"/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vypl</w:t>
            </w:r>
            <w:proofErr w:type="spellEnd"/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. z </w:t>
            </w:r>
            <w:proofErr w:type="spellStart"/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trans</w:t>
            </w:r>
            <w:proofErr w:type="spellEnd"/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. s fin. aktívami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4 075 168,42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color w:val="000000"/>
                <w:sz w:val="18"/>
                <w:szCs w:val="18"/>
                <w:lang w:eastAsia="sk-SK"/>
              </w:rPr>
              <w:t>4 556 130,35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4 085 016,79</w:t>
            </w:r>
          </w:p>
        </w:tc>
      </w:tr>
      <w:tr w:rsidR="0069511F" w:rsidRPr="0069511F" w:rsidTr="0069511F">
        <w:trPr>
          <w:trHeight w:val="240"/>
          <w:jc w:val="center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69511F" w:rsidRPr="0069511F" w:rsidRDefault="0069511F" w:rsidP="0069511F">
            <w:pPr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:rsidR="0069511F" w:rsidRPr="0069511F" w:rsidRDefault="0069511F" w:rsidP="0069511F">
            <w:pPr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C e l k o m: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210 708 035,37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170 448 323,46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:rsidR="0069511F" w:rsidRPr="0069511F" w:rsidRDefault="0069511F" w:rsidP="0069511F">
            <w:pPr>
              <w:jc w:val="right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  <w:r w:rsidRPr="0069511F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182 123 168,25</w:t>
            </w:r>
          </w:p>
        </w:tc>
      </w:tr>
    </w:tbl>
    <w:p w:rsidR="00A102A9" w:rsidRPr="00D121D9" w:rsidRDefault="00A102A9" w:rsidP="009810D7">
      <w:pPr>
        <w:ind w:firstLine="708"/>
        <w:jc w:val="both"/>
        <w:rPr>
          <w:rFonts w:asciiTheme="minorHAnsi" w:hAnsiTheme="minorHAnsi" w:cstheme="minorHAnsi"/>
          <w:b/>
          <w:color w:val="FF0000"/>
          <w:sz w:val="22"/>
          <w:szCs w:val="22"/>
          <w:highlight w:val="yellow"/>
        </w:rPr>
      </w:pPr>
    </w:p>
    <w:p w:rsidR="009810D7" w:rsidRPr="00D121D9" w:rsidRDefault="009810D7" w:rsidP="009810D7">
      <w:pPr>
        <w:jc w:val="both"/>
        <w:rPr>
          <w:rFonts w:asciiTheme="minorHAnsi" w:hAnsiTheme="minorHAnsi" w:cstheme="minorHAnsi"/>
          <w:bCs w:val="0"/>
          <w:color w:val="FF0000"/>
          <w:sz w:val="22"/>
          <w:szCs w:val="22"/>
        </w:rPr>
      </w:pPr>
    </w:p>
    <w:p w:rsidR="009810D7" w:rsidRPr="007D7EC3" w:rsidRDefault="009810D7" w:rsidP="009810D7">
      <w:pPr>
        <w:ind w:firstLine="70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D7EC3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="007D7EC3" w:rsidRPr="007D7EC3">
        <w:rPr>
          <w:rFonts w:asciiTheme="minorHAnsi" w:hAnsiTheme="minorHAnsi" w:cstheme="minorHAnsi"/>
          <w:color w:val="000000" w:themeColor="text1"/>
          <w:sz w:val="22"/>
          <w:szCs w:val="22"/>
        </w:rPr>
        <w:t> tabuľke č. 5</w:t>
      </w:r>
      <w:r w:rsidR="00E6076C" w:rsidRPr="007D7EC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 rok 20</w:t>
      </w:r>
      <w:r w:rsidR="00A0159E" w:rsidRPr="007D7EC3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Pr="007D7EC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sú uvedené v rámci bežných a kapitálových príjmov a bežných a kapitálových výdavkov aj príjmy a výdavky z finančných operácií</w:t>
      </w:r>
      <w:r w:rsidR="006D7686" w:rsidRPr="007D7EC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7D7EC3" w:rsidRPr="007D7EC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Celková bilancia rozpočtu vrátane finančných operácií je vo výške </w:t>
      </w:r>
      <w:r w:rsidR="007D7EC3" w:rsidRPr="007D7EC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26 117 152,35 EUR</w:t>
      </w:r>
      <w:r w:rsidR="007D7EC3" w:rsidRPr="007D7EC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6D7686" w:rsidRPr="007D7EC3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="007D7EC3" w:rsidRPr="007D7EC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 tejto bilancii </w:t>
      </w:r>
      <w:r w:rsidRPr="007D7EC3">
        <w:rPr>
          <w:rFonts w:asciiTheme="minorHAnsi" w:hAnsiTheme="minorHAnsi" w:cstheme="minorHAnsi"/>
          <w:color w:val="000000" w:themeColor="text1"/>
          <w:sz w:val="22"/>
          <w:szCs w:val="22"/>
        </w:rPr>
        <w:t>sú  obsiahnuté aj tie účelovo viazané finančné prostriedky, ktoré podľa § 16 ods. 6 zákona o rozpočtových pravidlách územnej samosprávy možno použiť ako nevyčerpané účelovo určené prostriedky poskytnuté v predchádzajúcom rozpočtovom roku zo</w:t>
      </w:r>
      <w:r w:rsidR="00D70045" w:rsidRPr="007D7EC3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7D7EC3">
        <w:rPr>
          <w:rFonts w:asciiTheme="minorHAnsi" w:hAnsiTheme="minorHAnsi" w:cstheme="minorHAnsi"/>
          <w:color w:val="000000" w:themeColor="text1"/>
          <w:sz w:val="22"/>
          <w:szCs w:val="22"/>
        </w:rPr>
        <w:t>štátneho rozpočtu, z rozpočtu Európskej únie</w:t>
      </w:r>
      <w:r w:rsidR="000B284B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Pr="007D7EC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alebo na základe osobitného predpisu. Tieto </w:t>
      </w:r>
      <w:r w:rsidR="00D902D5" w:rsidRPr="007D7EC3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Pr="007D7EC3">
        <w:rPr>
          <w:rFonts w:asciiTheme="minorHAnsi" w:hAnsiTheme="minorHAnsi" w:cstheme="minorHAnsi"/>
          <w:color w:val="000000" w:themeColor="text1"/>
          <w:sz w:val="22"/>
          <w:szCs w:val="22"/>
        </w:rPr>
        <w:t>nevyčerpané</w:t>
      </w:r>
      <w:r w:rsidR="00D902D5" w:rsidRPr="007D7EC3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Pr="007D7EC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prostriedky sa na účely tvorby peňažných fondov pri usporiadaní prebytku rozpočtu vyššieho územného celku z prebytku vylučujú. </w:t>
      </w:r>
    </w:p>
    <w:p w:rsidR="00C35434" w:rsidRDefault="007D7EC3" w:rsidP="009810D7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7D7EC3">
        <w:rPr>
          <w:rFonts w:ascii="Calibri" w:hAnsi="Calibri" w:cs="Calibri"/>
          <w:sz w:val="22"/>
          <w:szCs w:val="22"/>
        </w:rPr>
        <w:t>Podrobný prehľad nevyčerpaných finančných prostriedkov rozpočtu, ktoré neboli čerpané v roku 2020 a budú čerpané, alebo vrátené do ŠR v roku 2021, je uvedený v</w:t>
      </w:r>
      <w:r>
        <w:rPr>
          <w:rFonts w:ascii="Calibri" w:hAnsi="Calibri" w:cs="Calibri"/>
          <w:sz w:val="22"/>
          <w:szCs w:val="22"/>
        </w:rPr>
        <w:t xml:space="preserve"> časti B.3. predloženého návrhu záverečného účtu v celkovej výške </w:t>
      </w:r>
      <w:r>
        <w:rPr>
          <w:rFonts w:ascii="Calibri" w:hAnsi="Calibri" w:cs="Calibri"/>
          <w:b/>
          <w:sz w:val="22"/>
          <w:szCs w:val="22"/>
        </w:rPr>
        <w:t>4 282 640,58 EUR</w:t>
      </w:r>
      <w:r>
        <w:rPr>
          <w:rFonts w:ascii="Calibri" w:hAnsi="Calibri" w:cs="Calibri"/>
          <w:sz w:val="22"/>
          <w:szCs w:val="22"/>
        </w:rPr>
        <w:t>.</w:t>
      </w:r>
    </w:p>
    <w:p w:rsidR="007D7EC3" w:rsidRPr="007D7EC3" w:rsidRDefault="007D7EC3" w:rsidP="009810D7">
      <w:pPr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DD500C" w:rsidRPr="00500CA3" w:rsidRDefault="00500CA3" w:rsidP="00DD500C">
      <w:pPr>
        <w:ind w:firstLine="708"/>
        <w:jc w:val="both"/>
        <w:rPr>
          <w:rFonts w:asciiTheme="minorHAnsi" w:hAnsiTheme="minorHAnsi" w:cstheme="minorHAnsi"/>
          <w:bCs w:val="0"/>
          <w:color w:val="000000" w:themeColor="text1"/>
          <w:sz w:val="22"/>
          <w:szCs w:val="22"/>
        </w:rPr>
      </w:pPr>
      <w:r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>V</w:t>
      </w:r>
      <w:r w:rsidR="00DD500C"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>ýsledk</w:t>
      </w:r>
      <w:r w:rsidR="00582E8B"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>om</w:t>
      </w:r>
      <w:r w:rsidR="00DD500C"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hospodárenia, po usporiadaní </w:t>
      </w:r>
      <w:r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>prebytku rozpočtu BSK</w:t>
      </w:r>
      <w:r w:rsidR="00DD500C"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</w:t>
      </w:r>
      <w:r w:rsidR="008F4391"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DD500C"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>zmysle</w:t>
      </w:r>
      <w:r w:rsidR="008F4391"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>ustanovenia</w:t>
      </w:r>
      <w:r w:rsidR="008F4391"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D500C"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>§</w:t>
      </w:r>
      <w:r w:rsidR="00582E8B"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D500C"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>16 ods. 6 zákona  o rozpočtových pravidlách územnej samosprávy</w:t>
      </w:r>
      <w:r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je prebytok rozpočtu v celkovej výške </w:t>
      </w:r>
      <w:r w:rsidRPr="00500CA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21 834 511,77</w:t>
      </w:r>
      <w:r w:rsidR="009E30C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 </w:t>
      </w:r>
      <w:r w:rsidRPr="00500CA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EUR</w:t>
      </w:r>
      <w:r w:rsidR="00DD500C" w:rsidRPr="00500CA3">
        <w:rPr>
          <w:rFonts w:asciiTheme="minorHAnsi" w:hAnsiTheme="minorHAnsi" w:cstheme="minorHAnsi"/>
          <w:bCs w:val="0"/>
          <w:color w:val="000000" w:themeColor="text1"/>
          <w:sz w:val="22"/>
          <w:szCs w:val="22"/>
        </w:rPr>
        <w:t>.</w:t>
      </w:r>
    </w:p>
    <w:p w:rsidR="00DD500C" w:rsidRDefault="00DD500C" w:rsidP="00DD500C">
      <w:pPr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B606A1" w:rsidRPr="00D121D9" w:rsidRDefault="00B606A1" w:rsidP="00DD500C">
      <w:pPr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9810D7" w:rsidRPr="002D49BE" w:rsidRDefault="009810D7" w:rsidP="009810D7">
      <w:pPr>
        <w:jc w:val="both"/>
        <w:rPr>
          <w:rFonts w:asciiTheme="minorHAnsi" w:hAnsiTheme="minorHAnsi" w:cstheme="minorHAnsi"/>
          <w:b/>
          <w:spacing w:val="20"/>
          <w:sz w:val="22"/>
          <w:szCs w:val="22"/>
        </w:rPr>
      </w:pPr>
      <w:r w:rsidRPr="002D49BE">
        <w:rPr>
          <w:rFonts w:asciiTheme="minorHAnsi" w:hAnsiTheme="minorHAnsi" w:cstheme="minorHAnsi"/>
          <w:b/>
          <w:spacing w:val="20"/>
          <w:sz w:val="22"/>
          <w:szCs w:val="22"/>
        </w:rPr>
        <w:t>2</w:t>
      </w:r>
      <w:r w:rsidR="00EB490B" w:rsidRPr="002D49BE">
        <w:rPr>
          <w:rFonts w:asciiTheme="minorHAnsi" w:hAnsiTheme="minorHAnsi" w:cstheme="minorHAnsi"/>
          <w:b/>
          <w:spacing w:val="20"/>
          <w:sz w:val="22"/>
          <w:szCs w:val="22"/>
        </w:rPr>
        <w:t>.</w:t>
      </w:r>
      <w:r w:rsidRPr="002D49BE">
        <w:rPr>
          <w:rFonts w:asciiTheme="minorHAnsi" w:hAnsiTheme="minorHAnsi" w:cstheme="minorHAnsi"/>
          <w:b/>
          <w:spacing w:val="20"/>
          <w:sz w:val="22"/>
          <w:szCs w:val="22"/>
        </w:rPr>
        <w:t xml:space="preserve">     </w:t>
      </w:r>
      <w:r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 xml:space="preserve">Zhodnotenie návrhu </w:t>
      </w:r>
      <w:r w:rsidR="00E6076C"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Z</w:t>
      </w:r>
      <w:r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áverečného účtu</w:t>
      </w:r>
      <w:r w:rsidR="00E6076C"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 xml:space="preserve"> za rok 20</w:t>
      </w:r>
      <w:r w:rsidR="00A46F25"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20</w:t>
      </w:r>
    </w:p>
    <w:p w:rsidR="009810D7" w:rsidRPr="00500CA3" w:rsidRDefault="009810D7" w:rsidP="009810D7">
      <w:pPr>
        <w:pStyle w:val="Nadpis7"/>
        <w:tabs>
          <w:tab w:val="left" w:pos="720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00CA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2.1      Rozpočtové hospodárenie</w:t>
      </w:r>
    </w:p>
    <w:p w:rsidR="009810D7" w:rsidRPr="00500CA3" w:rsidRDefault="009810D7" w:rsidP="009810D7">
      <w:pPr>
        <w:ind w:firstLine="708"/>
        <w:jc w:val="both"/>
        <w:rPr>
          <w:rFonts w:asciiTheme="minorHAnsi" w:hAnsiTheme="minorHAnsi" w:cstheme="minorHAnsi"/>
          <w:color w:val="000000" w:themeColor="text1"/>
          <w:sz w:val="22"/>
          <w:szCs w:val="22"/>
          <w:highlight w:val="yellow"/>
        </w:rPr>
      </w:pPr>
    </w:p>
    <w:p w:rsidR="00C6104D" w:rsidRPr="00500CA3" w:rsidRDefault="009810D7" w:rsidP="00C6104D">
      <w:pPr>
        <w:ind w:firstLine="70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základe vyššie uvedených častí stanoviska </w:t>
      </w:r>
      <w:r w:rsidR="00C6104D"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hlavného kontrolóra </w:t>
      </w:r>
      <w:r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>BSK je možné potvrdiť, že</w:t>
      </w:r>
      <w:r w:rsidR="009E30C4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výsledkom hospodárenia </w:t>
      </w:r>
      <w:r w:rsidR="00C6104D"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>(vrátane finančných operácií po vylúčení nevyčerpaných dotácií ŠR, prostriedkov EÚ a ostatných záväzkov) v roku 20</w:t>
      </w:r>
      <w:r w:rsidR="00A46F25"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="003C5602"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bol</w:t>
      </w:r>
      <w:r w:rsidR="00C6104D"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prebytok vo výške</w:t>
      </w:r>
      <w:r w:rsidR="00500CA3"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00CA3" w:rsidRPr="00500CA3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21 834 511,77 EUR</w:t>
      </w:r>
      <w:r w:rsidR="00500CA3" w:rsidRPr="00500CA3">
        <w:rPr>
          <w:rFonts w:asciiTheme="minorHAnsi" w:hAnsiTheme="minorHAnsi" w:cstheme="minorHAnsi"/>
          <w:bCs w:val="0"/>
          <w:color w:val="000000" w:themeColor="text1"/>
          <w:sz w:val="22"/>
          <w:szCs w:val="22"/>
        </w:rPr>
        <w:t>.</w:t>
      </w:r>
      <w:r w:rsidR="00C6104D" w:rsidRPr="00500CA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:rsidR="009810D7" w:rsidRDefault="009810D7" w:rsidP="009810D7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B606A1" w:rsidRDefault="00B606A1" w:rsidP="009810D7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B606A1" w:rsidRDefault="00B606A1" w:rsidP="009810D7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556DE4" w:rsidRPr="008D2826" w:rsidRDefault="00556DE4" w:rsidP="00556DE4">
      <w:pPr>
        <w:pStyle w:val="titulok"/>
        <w:spacing w:before="0" w:beforeAutospacing="0" w:after="0" w:afterAutospacing="0"/>
        <w:jc w:val="both"/>
        <w:rPr>
          <w:rFonts w:asciiTheme="minorHAnsi" w:hAnsiTheme="minorHAnsi" w:cstheme="minorHAnsi"/>
          <w:bCs w:val="0"/>
          <w:color w:val="auto"/>
          <w:sz w:val="22"/>
          <w:szCs w:val="22"/>
        </w:rPr>
      </w:pPr>
      <w:r w:rsidRPr="008D2826">
        <w:rPr>
          <w:rFonts w:asciiTheme="minorHAnsi" w:hAnsiTheme="minorHAnsi" w:cstheme="minorHAnsi"/>
          <w:bCs w:val="0"/>
          <w:color w:val="auto"/>
          <w:sz w:val="22"/>
          <w:szCs w:val="22"/>
        </w:rPr>
        <w:t xml:space="preserve">2.2     Peňažné fondy  </w:t>
      </w:r>
    </w:p>
    <w:p w:rsidR="00556DE4" w:rsidRPr="00D121D9" w:rsidRDefault="00556DE4" w:rsidP="00556DE4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121D9">
        <w:rPr>
          <w:rFonts w:asciiTheme="minorHAnsi" w:hAnsiTheme="minorHAnsi" w:cstheme="minorHAnsi"/>
          <w:b/>
          <w:color w:val="FF0000"/>
          <w:sz w:val="22"/>
          <w:szCs w:val="22"/>
        </w:rPr>
        <w:lastRenderedPageBreak/>
        <w:tab/>
      </w:r>
    </w:p>
    <w:p w:rsidR="00556DE4" w:rsidRDefault="00556DE4" w:rsidP="00556DE4">
      <w:pPr>
        <w:ind w:firstLine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4769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Sociálny fond </w:t>
      </w:r>
      <w:r w:rsidRPr="00A4769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BSK bol tvorený ako súhrn povinného a nepovinného prídelu vo výške 1,5 % objemu skutočne vyplatených hrubých miezd </w:t>
      </w:r>
      <w:r w:rsidR="00D04D1D" w:rsidRPr="00A47695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Pr="00A47695">
        <w:rPr>
          <w:rFonts w:asciiTheme="minorHAnsi" w:hAnsiTheme="minorHAnsi" w:cstheme="minorHAnsi"/>
          <w:color w:val="000000" w:themeColor="text1"/>
          <w:sz w:val="22"/>
          <w:szCs w:val="22"/>
        </w:rPr>
        <w:t>podľa zákona č. 152/1994 Z. z. o sociálnom fonde a o zmene a doplnení zákona č. 286/1992 Zb. o daniach z príjmov v znení neskorších predpisov</w:t>
      </w:r>
      <w:r w:rsidR="00D04D1D" w:rsidRPr="00A47695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Pr="00A4769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:rsidR="00ED1798" w:rsidRPr="00A47695" w:rsidRDefault="00ED1798" w:rsidP="00556DE4">
      <w:pPr>
        <w:ind w:firstLine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7117A4" w:rsidRPr="00D17E69" w:rsidRDefault="00ED1798" w:rsidP="00556DE4">
      <w:pPr>
        <w:ind w:firstLine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>Po</w:t>
      </w:r>
      <w:r w:rsidR="00556DE4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čiatočný stav sociálneho fondu k  </w:t>
      </w:r>
      <w:r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>0</w:t>
      </w:r>
      <w:r w:rsidR="00556DE4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1. </w:t>
      </w:r>
      <w:r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>0</w:t>
      </w:r>
      <w:r w:rsidR="00556DE4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>1. 20</w:t>
      </w:r>
      <w:r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="00556DE4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bol v sume </w:t>
      </w:r>
      <w:r w:rsidR="00D17E69" w:rsidRPr="00D17E6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39 036,24 EUR</w:t>
      </w:r>
      <w:r w:rsidR="00556DE4" w:rsidRPr="00D17E69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>.</w:t>
      </w:r>
      <w:r w:rsidR="00556DE4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Celková zákonná tvorba sociálneho fondu za rok 20</w:t>
      </w:r>
      <w:r w:rsidR="00D17E69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="00556DE4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dosiahla  sumu </w:t>
      </w:r>
      <w:r w:rsidR="001C62A9" w:rsidRPr="00D17E6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8</w:t>
      </w:r>
      <w:r w:rsidR="00D17E69" w:rsidRPr="00D17E6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8 290,50 EUR</w:t>
      </w:r>
      <w:r w:rsidR="001C62A9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>, z</w:t>
      </w:r>
      <w:r w:rsidR="00556DE4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> toho základný prídel vo výške 1,5 % objemu skutočne vyplatených hrubých miezd za december 201</w:t>
      </w:r>
      <w:r w:rsidR="00D17E69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>9</w:t>
      </w:r>
      <w:r w:rsidR="00556DE4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vo výške </w:t>
      </w:r>
      <w:r w:rsidR="00D17E69" w:rsidRPr="00D17E6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6 321,98 EUR</w:t>
      </w:r>
      <w:r w:rsidR="00556DE4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 základný prídel vo výške 1,5</w:t>
      </w:r>
      <w:r w:rsidR="009E30C4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556DE4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>% objemu skutočne vyplatených hrubých miezd za január</w:t>
      </w:r>
      <w:r w:rsidR="00DB4324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56DE4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až november 20</w:t>
      </w:r>
      <w:r w:rsidR="00D17E69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="00556DE4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vo výške </w:t>
      </w:r>
      <w:r w:rsidR="00D17E69" w:rsidRPr="00D17E6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81 968,52 EUR</w:t>
      </w:r>
      <w:r w:rsidR="00556DE4" w:rsidRPr="00D17E6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</w:t>
      </w:r>
    </w:p>
    <w:p w:rsidR="00556DE4" w:rsidRPr="009060EE" w:rsidRDefault="00556DE4" w:rsidP="00556DE4">
      <w:pPr>
        <w:ind w:firstLine="709"/>
        <w:jc w:val="both"/>
        <w:rPr>
          <w:rFonts w:asciiTheme="minorHAnsi" w:hAnsiTheme="minorHAnsi" w:cstheme="minorHAnsi"/>
          <w:color w:val="000000" w:themeColor="text1"/>
          <w:sz w:val="22"/>
          <w:szCs w:val="22"/>
          <w:highlight w:val="yellow"/>
        </w:rPr>
      </w:pPr>
      <w:r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Prostriedky fondu boli čerpané </w:t>
      </w:r>
      <w:r w:rsidR="00D17E69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</w:t>
      </w:r>
      <w:r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>príspev</w:t>
      </w:r>
      <w:r w:rsidR="00D17E69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>ky</w:t>
      </w:r>
      <w:r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stravovanie, na regeneráciu zamestnancov</w:t>
      </w:r>
      <w:r w:rsidR="001C62A9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</w:t>
      </w:r>
      <w:r w:rsidR="00D70045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>na</w:t>
      </w:r>
      <w:r w:rsidR="00D70045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>nenávratnú sociálnu výpomoc</w:t>
      </w:r>
      <w:r w:rsidR="001C62A9"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Pr="00D17E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Spolu bolo zo  sociálneho fondu  použitých </w:t>
      </w:r>
      <w:r w:rsidR="00D17E69" w:rsidRPr="00D17E6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98 426,44 EUR </w:t>
      </w:r>
      <w:r w:rsidR="00D17E69" w:rsidRPr="00D17E6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(2019 = </w:t>
      </w:r>
      <w:r w:rsidR="006B0E9E" w:rsidRPr="00D17E6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7</w:t>
      </w:r>
      <w:r w:rsidR="001C62A9" w:rsidRPr="00D17E6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7 226,53</w:t>
      </w:r>
      <w:r w:rsidRPr="00D17E6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="00D17E69" w:rsidRPr="00D17E6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EUR)</w:t>
      </w:r>
      <w:r w:rsidRPr="00D17E69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. </w:t>
      </w:r>
      <w:r w:rsidR="00D17E6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Konečný stav sociálneho fondu bez </w:t>
      </w:r>
      <w:r w:rsidR="009060E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tvorby sociálneho fondu za mesiac december 2020 bol vo výške </w:t>
      </w:r>
      <w:r w:rsidR="009060EE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28 900,30 EUR</w:t>
      </w:r>
      <w:r w:rsidR="009060EE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556DE4" w:rsidRPr="00D121D9" w:rsidRDefault="00556DE4" w:rsidP="00556DE4">
      <w:pPr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556DE4" w:rsidRPr="00D121D9" w:rsidRDefault="00556DE4" w:rsidP="00302013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D121D9">
        <w:rPr>
          <w:rFonts w:asciiTheme="minorHAnsi" w:hAnsiTheme="minorHAnsi" w:cstheme="minorHAnsi"/>
          <w:color w:val="FF0000"/>
          <w:sz w:val="22"/>
          <w:szCs w:val="22"/>
        </w:rPr>
        <w:tab/>
      </w:r>
      <w:r w:rsidRPr="00936B8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Rezervný fond </w:t>
      </w:r>
      <w:r w:rsidR="004E7ECC"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>mal</w:t>
      </w:r>
      <w:r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</w:t>
      </w:r>
      <w:r w:rsidR="00B85A88"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36B8B"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>0</w:t>
      </w:r>
      <w:r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1. </w:t>
      </w:r>
      <w:r w:rsidR="00936B8B"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>0</w:t>
      </w:r>
      <w:r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>1. 20</w:t>
      </w:r>
      <w:r w:rsidR="00936B8B"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D6E56">
        <w:rPr>
          <w:rFonts w:asciiTheme="minorHAnsi" w:hAnsiTheme="minorHAnsi" w:cstheme="minorHAnsi"/>
          <w:color w:val="000000" w:themeColor="text1"/>
          <w:sz w:val="22"/>
          <w:szCs w:val="22"/>
        </w:rPr>
        <w:t>po</w:t>
      </w:r>
      <w:r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>čiatočný stav v</w:t>
      </w:r>
      <w:r w:rsidR="00936B8B"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 výške </w:t>
      </w:r>
      <w:r w:rsidR="00936B8B" w:rsidRPr="00936B8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5 633 573,66 EUR </w:t>
      </w:r>
      <w:r w:rsidR="00936B8B" w:rsidRPr="00936B8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(2019 = </w:t>
      </w:r>
      <w:r w:rsidR="00302013" w:rsidRPr="00936B8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4 375 236,27</w:t>
      </w:r>
      <w:r w:rsidR="009E30C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 </w:t>
      </w:r>
      <w:r w:rsidR="00936B8B" w:rsidRPr="00936B8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EUR)</w:t>
      </w:r>
      <w:r w:rsidRPr="00936B8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. </w:t>
      </w:r>
      <w:r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>Uznesením</w:t>
      </w:r>
      <w:r w:rsidR="00936B8B"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Zastupiteľstva BSK</w:t>
      </w:r>
      <w:r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č. </w:t>
      </w:r>
      <w:r w:rsidR="00936B8B"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>252</w:t>
      </w:r>
      <w:r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>/20</w:t>
      </w:r>
      <w:r w:rsidR="00936B8B"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 </w:t>
      </w:r>
      <w:r w:rsidR="00936B8B"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>29</w:t>
      </w:r>
      <w:r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936B8B"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>05</w:t>
      </w:r>
      <w:r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>. 20</w:t>
      </w:r>
      <w:r w:rsidR="00936B8B"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20 bol </w:t>
      </w:r>
      <w:r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>schvál</w:t>
      </w:r>
      <w:r w:rsidR="00936B8B"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>ený</w:t>
      </w:r>
      <w:r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FB23B5"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>prevod</w:t>
      </w:r>
      <w:r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zostatku finančných prostriedkov z roku 201</w:t>
      </w:r>
      <w:r w:rsidR="00936B8B"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>9</w:t>
      </w:r>
      <w:r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 celkovej sume </w:t>
      </w:r>
      <w:r w:rsidR="00936B8B" w:rsidRPr="00936B8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11 049 055,75 EUR</w:t>
      </w:r>
      <w:r w:rsidRPr="00936B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 rezervného fondu.</w:t>
      </w:r>
    </w:p>
    <w:p w:rsidR="00556DE4" w:rsidRPr="008B688B" w:rsidRDefault="00B85A88" w:rsidP="00556DE4">
      <w:pPr>
        <w:ind w:firstLine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B688B">
        <w:rPr>
          <w:rFonts w:asciiTheme="minorHAnsi" w:hAnsiTheme="minorHAnsi" w:cstheme="minorHAnsi"/>
          <w:color w:val="000000" w:themeColor="text1"/>
          <w:sz w:val="22"/>
          <w:szCs w:val="22"/>
        </w:rPr>
        <w:t>V roku 20</w:t>
      </w:r>
      <w:r w:rsidR="00936B8B" w:rsidRPr="008B688B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Pr="008B68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boli použité p</w:t>
      </w:r>
      <w:r w:rsidR="00556DE4" w:rsidRPr="008B68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rostriedky rezervného fondu vo výške </w:t>
      </w:r>
      <w:r w:rsidR="00936B8B" w:rsidRPr="008B688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2 400 000,00 EUR </w:t>
      </w:r>
      <w:r w:rsidR="00936B8B" w:rsidRPr="008B688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(2019 = </w:t>
      </w:r>
      <w:r w:rsidR="003B1AD2" w:rsidRPr="008B688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10 356 209,47</w:t>
      </w:r>
      <w:r w:rsidR="00936B8B" w:rsidRPr="008B688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EUR)</w:t>
      </w:r>
      <w:r w:rsidR="00556DE4" w:rsidRPr="008B688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.</w:t>
      </w:r>
      <w:r w:rsidR="00936B8B" w:rsidRPr="008B68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Podrobný rozpis čerpania rezervného fondu je uvedený v časti C.2. predloženého návrhu </w:t>
      </w:r>
      <w:r w:rsidR="002838C7">
        <w:rPr>
          <w:rFonts w:asciiTheme="minorHAnsi" w:hAnsiTheme="minorHAnsi" w:cstheme="minorHAnsi"/>
          <w:color w:val="000000" w:themeColor="text1"/>
          <w:sz w:val="22"/>
          <w:szCs w:val="22"/>
        </w:rPr>
        <w:t>Z</w:t>
      </w:r>
      <w:r w:rsidR="008B688B" w:rsidRPr="008B688B">
        <w:rPr>
          <w:rFonts w:asciiTheme="minorHAnsi" w:hAnsiTheme="minorHAnsi" w:cstheme="minorHAnsi"/>
          <w:color w:val="000000" w:themeColor="text1"/>
          <w:sz w:val="22"/>
          <w:szCs w:val="22"/>
        </w:rPr>
        <w:t>áverečného účtu</w:t>
      </w:r>
      <w:r w:rsidR="002838C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 rok 2020</w:t>
      </w:r>
      <w:r w:rsidR="00936B8B" w:rsidRPr="008B688B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556DE4" w:rsidRPr="00D121D9" w:rsidRDefault="00556DE4" w:rsidP="00556DE4">
      <w:pPr>
        <w:ind w:firstLine="709"/>
        <w:jc w:val="both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8B688B">
        <w:rPr>
          <w:rFonts w:asciiTheme="minorHAnsi" w:hAnsiTheme="minorHAnsi" w:cstheme="minorHAnsi"/>
          <w:color w:val="000000" w:themeColor="text1"/>
          <w:sz w:val="22"/>
          <w:szCs w:val="22"/>
        </w:rPr>
        <w:t>Konečný stav (zostatok) rezervného fondu k 31. 12. 20</w:t>
      </w:r>
      <w:r w:rsidR="008B688B" w:rsidRPr="008B688B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Pr="008B688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bol vykázaný v celkovej výške </w:t>
      </w:r>
      <w:r w:rsidR="008B688B" w:rsidRPr="008B688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14 282 629,41</w:t>
      </w:r>
      <w:r w:rsidR="009E30C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 </w:t>
      </w:r>
      <w:r w:rsidR="008B688B" w:rsidRPr="008B688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EUR </w:t>
      </w:r>
      <w:r w:rsidR="008B688B" w:rsidRPr="008B688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(2019 = </w:t>
      </w:r>
      <w:r w:rsidR="003B1AD2" w:rsidRPr="008B688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5 633 573,66</w:t>
      </w:r>
      <w:r w:rsidR="00C40DCB" w:rsidRPr="008B688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 </w:t>
      </w:r>
      <w:r w:rsidR="008B688B" w:rsidRPr="008B688B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EUR)</w:t>
      </w:r>
      <w:r w:rsidRPr="00D121D9">
        <w:rPr>
          <w:rFonts w:asciiTheme="minorHAnsi" w:hAnsiTheme="minorHAnsi" w:cstheme="minorHAnsi"/>
          <w:i/>
          <w:color w:val="FF0000"/>
          <w:sz w:val="22"/>
          <w:szCs w:val="22"/>
        </w:rPr>
        <w:t>.</w:t>
      </w:r>
    </w:p>
    <w:p w:rsidR="00556DE4" w:rsidRPr="00D121D9" w:rsidRDefault="00556DE4" w:rsidP="009810D7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  <w:highlight w:val="yellow"/>
        </w:rPr>
      </w:pPr>
    </w:p>
    <w:p w:rsidR="009810D7" w:rsidRPr="008D2826" w:rsidRDefault="009810D7" w:rsidP="009810D7">
      <w:pPr>
        <w:tabs>
          <w:tab w:val="left" w:pos="540"/>
          <w:tab w:val="left" w:pos="720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8D2826">
        <w:rPr>
          <w:rFonts w:asciiTheme="minorHAnsi" w:hAnsiTheme="minorHAnsi" w:cstheme="minorHAnsi"/>
          <w:b/>
          <w:sz w:val="22"/>
          <w:szCs w:val="22"/>
        </w:rPr>
        <w:t>2.3     Bilancia aktív a pasív</w:t>
      </w:r>
    </w:p>
    <w:p w:rsidR="009810D7" w:rsidRPr="00D121D9" w:rsidRDefault="009810D7" w:rsidP="009810D7">
      <w:pPr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5E497B" w:rsidRPr="004D3639" w:rsidRDefault="009810D7" w:rsidP="009810D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D3639">
        <w:rPr>
          <w:rFonts w:asciiTheme="minorHAnsi" w:hAnsiTheme="minorHAnsi" w:cstheme="minorHAnsi"/>
          <w:sz w:val="22"/>
          <w:szCs w:val="22"/>
        </w:rPr>
        <w:t>Bilancia aktív a pasív BSK k 31. 12. 20</w:t>
      </w:r>
      <w:r w:rsidR="004D3639" w:rsidRPr="004D3639">
        <w:rPr>
          <w:rFonts w:asciiTheme="minorHAnsi" w:hAnsiTheme="minorHAnsi" w:cstheme="minorHAnsi"/>
          <w:sz w:val="22"/>
          <w:szCs w:val="22"/>
        </w:rPr>
        <w:t>20</w:t>
      </w:r>
      <w:r w:rsidRPr="004D3639">
        <w:rPr>
          <w:rFonts w:asciiTheme="minorHAnsi" w:hAnsiTheme="minorHAnsi" w:cstheme="minorHAnsi"/>
          <w:sz w:val="22"/>
          <w:szCs w:val="22"/>
        </w:rPr>
        <w:t xml:space="preserve"> je </w:t>
      </w:r>
      <w:r w:rsidR="00274557" w:rsidRPr="004D3639">
        <w:rPr>
          <w:rFonts w:asciiTheme="minorHAnsi" w:hAnsiTheme="minorHAnsi" w:cstheme="minorHAnsi"/>
          <w:sz w:val="22"/>
          <w:szCs w:val="22"/>
        </w:rPr>
        <w:t xml:space="preserve">podrobne </w:t>
      </w:r>
      <w:r w:rsidRPr="004D3639">
        <w:rPr>
          <w:rFonts w:asciiTheme="minorHAnsi" w:hAnsiTheme="minorHAnsi" w:cstheme="minorHAnsi"/>
          <w:sz w:val="22"/>
          <w:szCs w:val="22"/>
        </w:rPr>
        <w:t xml:space="preserve">zhodnotená v časti D </w:t>
      </w:r>
      <w:r w:rsidR="006B1285" w:rsidRPr="004D3639">
        <w:rPr>
          <w:rFonts w:asciiTheme="minorHAnsi" w:hAnsiTheme="minorHAnsi" w:cstheme="minorHAnsi"/>
          <w:sz w:val="22"/>
          <w:szCs w:val="22"/>
        </w:rPr>
        <w:t xml:space="preserve">návrhu </w:t>
      </w:r>
      <w:r w:rsidR="00E6076C" w:rsidRPr="004D3639">
        <w:rPr>
          <w:rFonts w:asciiTheme="minorHAnsi" w:hAnsiTheme="minorHAnsi" w:cstheme="minorHAnsi"/>
          <w:sz w:val="22"/>
          <w:szCs w:val="22"/>
        </w:rPr>
        <w:t>Z</w:t>
      </w:r>
      <w:r w:rsidR="006B1285" w:rsidRPr="004D3639">
        <w:rPr>
          <w:rFonts w:asciiTheme="minorHAnsi" w:hAnsiTheme="minorHAnsi" w:cstheme="minorHAnsi"/>
          <w:sz w:val="22"/>
          <w:szCs w:val="22"/>
        </w:rPr>
        <w:t>áverečného účtu</w:t>
      </w:r>
      <w:r w:rsidR="00E6076C" w:rsidRPr="004D3639">
        <w:rPr>
          <w:rFonts w:asciiTheme="minorHAnsi" w:hAnsiTheme="minorHAnsi" w:cstheme="minorHAnsi"/>
          <w:sz w:val="22"/>
          <w:szCs w:val="22"/>
        </w:rPr>
        <w:t xml:space="preserve"> za rok 20</w:t>
      </w:r>
      <w:r w:rsidR="004D3639" w:rsidRPr="004D3639">
        <w:rPr>
          <w:rFonts w:asciiTheme="minorHAnsi" w:hAnsiTheme="minorHAnsi" w:cstheme="minorHAnsi"/>
          <w:sz w:val="22"/>
          <w:szCs w:val="22"/>
        </w:rPr>
        <w:t>20</w:t>
      </w:r>
      <w:r w:rsidR="000D2FE2" w:rsidRPr="004D3639">
        <w:rPr>
          <w:rFonts w:asciiTheme="minorHAnsi" w:hAnsiTheme="minorHAnsi" w:cstheme="minorHAnsi"/>
          <w:sz w:val="22"/>
          <w:szCs w:val="22"/>
        </w:rPr>
        <w:t xml:space="preserve"> a je vyjadrená v</w:t>
      </w:r>
      <w:r w:rsidRPr="004D3639">
        <w:rPr>
          <w:rFonts w:asciiTheme="minorHAnsi" w:hAnsiTheme="minorHAnsi" w:cstheme="minorHAnsi"/>
          <w:sz w:val="22"/>
          <w:szCs w:val="22"/>
        </w:rPr>
        <w:t> nasledujúcej tabuľke:</w:t>
      </w:r>
    </w:p>
    <w:p w:rsidR="00164EAA" w:rsidRPr="002838C7" w:rsidRDefault="00C40DCB" w:rsidP="009810D7">
      <w:pPr>
        <w:ind w:firstLine="708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D121D9">
        <w:rPr>
          <w:rFonts w:asciiTheme="minorHAnsi" w:hAnsiTheme="minorHAnsi" w:cstheme="minorHAnsi"/>
          <w:color w:val="FF0000"/>
          <w:sz w:val="22"/>
          <w:szCs w:val="22"/>
        </w:rPr>
        <w:t xml:space="preserve">                                                                                                                          </w:t>
      </w:r>
      <w:r w:rsidR="002838C7">
        <w:rPr>
          <w:rFonts w:asciiTheme="minorHAnsi" w:hAnsiTheme="minorHAnsi" w:cstheme="minorHAnsi"/>
          <w:color w:val="FF0000"/>
          <w:sz w:val="22"/>
          <w:szCs w:val="22"/>
        </w:rPr>
        <w:t xml:space="preserve">  </w:t>
      </w:r>
      <w:r w:rsidRPr="00D121D9">
        <w:rPr>
          <w:rFonts w:asciiTheme="minorHAnsi" w:hAnsiTheme="minorHAnsi" w:cstheme="minorHAnsi"/>
          <w:color w:val="FF0000"/>
          <w:sz w:val="22"/>
          <w:szCs w:val="22"/>
        </w:rPr>
        <w:t xml:space="preserve">      </w:t>
      </w:r>
      <w:r w:rsidRPr="002838C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tabuľka č. </w:t>
      </w:r>
      <w:r w:rsidR="002838C7" w:rsidRPr="002838C7">
        <w:rPr>
          <w:rFonts w:asciiTheme="minorHAnsi" w:hAnsiTheme="minorHAnsi" w:cstheme="minorHAnsi"/>
          <w:color w:val="000000" w:themeColor="text1"/>
          <w:sz w:val="20"/>
          <w:szCs w:val="20"/>
        </w:rPr>
        <w:t>7</w:t>
      </w:r>
      <w:r w:rsidRPr="002838C7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(v </w:t>
      </w:r>
      <w:r w:rsidR="002838C7" w:rsidRPr="002838C7">
        <w:rPr>
          <w:rFonts w:asciiTheme="minorHAnsi" w:hAnsiTheme="minorHAnsi" w:cstheme="minorHAnsi"/>
          <w:color w:val="000000" w:themeColor="text1"/>
          <w:sz w:val="20"/>
          <w:szCs w:val="20"/>
        </w:rPr>
        <w:t>EUR</w:t>
      </w:r>
      <w:r w:rsidRPr="002838C7">
        <w:rPr>
          <w:rFonts w:asciiTheme="minorHAnsi" w:hAnsiTheme="minorHAnsi" w:cstheme="minorHAnsi"/>
          <w:color w:val="000000" w:themeColor="text1"/>
          <w:sz w:val="20"/>
          <w:szCs w:val="20"/>
        </w:rPr>
        <w:t>)</w:t>
      </w:r>
    </w:p>
    <w:tbl>
      <w:tblPr>
        <w:tblW w:w="8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0"/>
        <w:gridCol w:w="2126"/>
        <w:gridCol w:w="1843"/>
        <w:gridCol w:w="1701"/>
      </w:tblGrid>
      <w:tr w:rsidR="004D3639" w:rsidRPr="004D3639" w:rsidTr="004D3639">
        <w:trPr>
          <w:trHeight w:hRule="exact" w:val="483"/>
          <w:jc w:val="center"/>
        </w:trPr>
        <w:tc>
          <w:tcPr>
            <w:tcW w:w="2350" w:type="dxa"/>
            <w:shd w:val="clear" w:color="auto" w:fill="B8CCE4" w:themeFill="accent1" w:themeFillTint="66"/>
            <w:noWrap/>
            <w:vAlign w:val="bottom"/>
            <w:hideMark/>
          </w:tcPr>
          <w:p w:rsidR="004D3639" w:rsidRPr="004D3639" w:rsidRDefault="004D3639" w:rsidP="004D3639">
            <w:pPr>
              <w:jc w:val="center"/>
              <w:rPr>
                <w:rFonts w:asciiTheme="minorHAnsi" w:hAnsiTheme="minorHAnsi" w:cstheme="minorHAnsi"/>
                <w:b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Bilancia Aktív a Pasív za BSK</w:t>
            </w:r>
          </w:p>
        </w:tc>
        <w:tc>
          <w:tcPr>
            <w:tcW w:w="2126" w:type="dxa"/>
            <w:shd w:val="clear" w:color="auto" w:fill="B8CCE4" w:themeFill="accent1" w:themeFillTint="66"/>
            <w:noWrap/>
            <w:vAlign w:val="bottom"/>
            <w:hideMark/>
          </w:tcPr>
          <w:p w:rsidR="004D3639" w:rsidRPr="004D3639" w:rsidRDefault="004D3639" w:rsidP="004D3639">
            <w:pPr>
              <w:jc w:val="center"/>
              <w:rPr>
                <w:rFonts w:asciiTheme="minorHAnsi" w:hAnsiTheme="minorHAnsi" w:cstheme="minorHAnsi"/>
                <w:b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 xml:space="preserve">Netto k 31.12.2019 </w:t>
            </w:r>
          </w:p>
        </w:tc>
        <w:tc>
          <w:tcPr>
            <w:tcW w:w="1843" w:type="dxa"/>
            <w:shd w:val="clear" w:color="auto" w:fill="B8CCE4" w:themeFill="accent1" w:themeFillTint="66"/>
            <w:noWrap/>
            <w:vAlign w:val="bottom"/>
            <w:hideMark/>
          </w:tcPr>
          <w:p w:rsidR="004D3639" w:rsidRDefault="004D3639" w:rsidP="004D3639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</w:p>
          <w:p w:rsidR="004D3639" w:rsidRPr="004D3639" w:rsidRDefault="004D3639" w:rsidP="004D3639">
            <w:pPr>
              <w:jc w:val="center"/>
              <w:rPr>
                <w:rFonts w:asciiTheme="minorHAnsi" w:hAnsiTheme="minorHAnsi" w:cstheme="minorHAnsi"/>
                <w:b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Netto k 31.12.2020</w:t>
            </w:r>
          </w:p>
          <w:p w:rsidR="004D3639" w:rsidRPr="004D3639" w:rsidRDefault="004D3639" w:rsidP="004D3639">
            <w:pPr>
              <w:jc w:val="center"/>
              <w:rPr>
                <w:rFonts w:asciiTheme="minorHAnsi" w:hAnsiTheme="minorHAnsi" w:cstheme="minorHAnsi"/>
                <w:b/>
                <w:bCs w:val="0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shd w:val="clear" w:color="auto" w:fill="B8CCE4" w:themeFill="accent1" w:themeFillTint="66"/>
            <w:noWrap/>
            <w:vAlign w:val="bottom"/>
            <w:hideMark/>
          </w:tcPr>
          <w:p w:rsidR="004D3639" w:rsidRDefault="004D3639" w:rsidP="004D3639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</w:pPr>
          </w:p>
          <w:p w:rsidR="004D3639" w:rsidRPr="004D3639" w:rsidRDefault="004D3639" w:rsidP="004D3639">
            <w:pPr>
              <w:jc w:val="center"/>
              <w:rPr>
                <w:rFonts w:asciiTheme="minorHAnsi" w:hAnsiTheme="minorHAnsi" w:cstheme="minorHAnsi"/>
                <w:b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Medziročná zmena</w:t>
            </w:r>
          </w:p>
          <w:p w:rsidR="004D3639" w:rsidRPr="004D3639" w:rsidRDefault="004D3639" w:rsidP="004D3639">
            <w:pPr>
              <w:jc w:val="center"/>
              <w:rPr>
                <w:rFonts w:asciiTheme="minorHAnsi" w:hAnsiTheme="minorHAnsi" w:cstheme="minorHAnsi"/>
                <w:b/>
                <w:bCs w:val="0"/>
                <w:sz w:val="18"/>
                <w:szCs w:val="18"/>
                <w:lang w:eastAsia="sk-SK"/>
              </w:rPr>
            </w:pPr>
          </w:p>
        </w:tc>
      </w:tr>
      <w:tr w:rsidR="004D3639" w:rsidRPr="004D3639" w:rsidTr="004D3639">
        <w:trPr>
          <w:trHeight w:hRule="exact" w:val="304"/>
          <w:jc w:val="center"/>
        </w:trPr>
        <w:tc>
          <w:tcPr>
            <w:tcW w:w="2350" w:type="dxa"/>
            <w:shd w:val="clear" w:color="auto" w:fill="B8CCE4" w:themeFill="accent1" w:themeFillTint="66"/>
            <w:noWrap/>
            <w:vAlign w:val="center"/>
            <w:hideMark/>
          </w:tcPr>
          <w:p w:rsidR="004D3639" w:rsidRPr="004D3639" w:rsidRDefault="004D3639" w:rsidP="004D3639">
            <w:pPr>
              <w:rPr>
                <w:rFonts w:asciiTheme="minorHAnsi" w:hAnsiTheme="minorHAnsi" w:cstheme="minorHAnsi"/>
                <w:b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AKTÍVA</w:t>
            </w:r>
          </w:p>
        </w:tc>
        <w:tc>
          <w:tcPr>
            <w:tcW w:w="2126" w:type="dxa"/>
            <w:shd w:val="clear" w:color="auto" w:fill="B8CCE4" w:themeFill="accent1" w:themeFillTint="66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488 017 082,29</w:t>
            </w:r>
          </w:p>
        </w:tc>
        <w:tc>
          <w:tcPr>
            <w:tcW w:w="1843" w:type="dxa"/>
            <w:shd w:val="clear" w:color="auto" w:fill="B8CCE4" w:themeFill="accent1" w:themeFillTint="66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517 684 668,15</w:t>
            </w:r>
          </w:p>
        </w:tc>
        <w:tc>
          <w:tcPr>
            <w:tcW w:w="1701" w:type="dxa"/>
            <w:shd w:val="clear" w:color="auto" w:fill="B8CCE4" w:themeFill="accent1" w:themeFillTint="66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29 667 585,86</w:t>
            </w:r>
          </w:p>
        </w:tc>
      </w:tr>
      <w:tr w:rsidR="004D3639" w:rsidRPr="004D3639" w:rsidTr="004D3639">
        <w:trPr>
          <w:trHeight w:hRule="exact" w:val="304"/>
          <w:jc w:val="center"/>
        </w:trPr>
        <w:tc>
          <w:tcPr>
            <w:tcW w:w="2350" w:type="dxa"/>
            <w:shd w:val="clear" w:color="auto" w:fill="auto"/>
            <w:noWrap/>
            <w:vAlign w:val="center"/>
            <w:hideMark/>
          </w:tcPr>
          <w:p w:rsidR="004D3639" w:rsidRPr="004D3639" w:rsidRDefault="004D3639" w:rsidP="004D3639">
            <w:pPr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Neobežný majetok</w:t>
            </w:r>
          </w:p>
        </w:tc>
        <w:tc>
          <w:tcPr>
            <w:tcW w:w="2126" w:type="dxa"/>
            <w:shd w:val="clear" w:color="auto" w:fill="auto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288 728 524,26</w:t>
            </w:r>
          </w:p>
        </w:tc>
        <w:tc>
          <w:tcPr>
            <w:tcW w:w="1843" w:type="dxa"/>
            <w:shd w:val="clear" w:color="auto" w:fill="auto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294 417 961,79</w:t>
            </w:r>
          </w:p>
        </w:tc>
        <w:tc>
          <w:tcPr>
            <w:tcW w:w="1701" w:type="dxa"/>
            <w:shd w:val="clear" w:color="auto" w:fill="auto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5 689 437,53</w:t>
            </w:r>
          </w:p>
        </w:tc>
      </w:tr>
      <w:tr w:rsidR="004D3639" w:rsidRPr="004D3639" w:rsidTr="004D3639">
        <w:trPr>
          <w:trHeight w:hRule="exact" w:val="304"/>
          <w:jc w:val="center"/>
        </w:trPr>
        <w:tc>
          <w:tcPr>
            <w:tcW w:w="2350" w:type="dxa"/>
            <w:shd w:val="clear" w:color="auto" w:fill="auto"/>
            <w:noWrap/>
            <w:vAlign w:val="center"/>
            <w:hideMark/>
          </w:tcPr>
          <w:p w:rsidR="004D3639" w:rsidRPr="004D3639" w:rsidRDefault="004D3639" w:rsidP="004D3639">
            <w:pPr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Obežný majetok</w:t>
            </w:r>
          </w:p>
        </w:tc>
        <w:tc>
          <w:tcPr>
            <w:tcW w:w="2126" w:type="dxa"/>
            <w:shd w:val="clear" w:color="auto" w:fill="auto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198 906 062,09</w:t>
            </w:r>
          </w:p>
        </w:tc>
        <w:tc>
          <w:tcPr>
            <w:tcW w:w="1843" w:type="dxa"/>
            <w:shd w:val="clear" w:color="auto" w:fill="auto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222 776 898,75</w:t>
            </w:r>
          </w:p>
        </w:tc>
        <w:tc>
          <w:tcPr>
            <w:tcW w:w="1701" w:type="dxa"/>
            <w:shd w:val="clear" w:color="auto" w:fill="auto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23 870 836,66</w:t>
            </w:r>
          </w:p>
        </w:tc>
      </w:tr>
      <w:tr w:rsidR="004D3639" w:rsidRPr="004D3639" w:rsidTr="004D3639">
        <w:trPr>
          <w:trHeight w:hRule="exact" w:val="304"/>
          <w:jc w:val="center"/>
        </w:trPr>
        <w:tc>
          <w:tcPr>
            <w:tcW w:w="2350" w:type="dxa"/>
            <w:shd w:val="clear" w:color="auto" w:fill="auto"/>
            <w:noWrap/>
            <w:vAlign w:val="center"/>
            <w:hideMark/>
          </w:tcPr>
          <w:p w:rsidR="004D3639" w:rsidRPr="004D3639" w:rsidRDefault="004D3639" w:rsidP="004D3639">
            <w:pPr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Časové rozlíšenie</w:t>
            </w:r>
          </w:p>
        </w:tc>
        <w:tc>
          <w:tcPr>
            <w:tcW w:w="2126" w:type="dxa"/>
            <w:shd w:val="clear" w:color="auto" w:fill="auto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382 495,94</w:t>
            </w:r>
          </w:p>
        </w:tc>
        <w:tc>
          <w:tcPr>
            <w:tcW w:w="1843" w:type="dxa"/>
            <w:shd w:val="clear" w:color="auto" w:fill="auto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489 807,61</w:t>
            </w:r>
          </w:p>
        </w:tc>
        <w:tc>
          <w:tcPr>
            <w:tcW w:w="1701" w:type="dxa"/>
            <w:shd w:val="clear" w:color="auto" w:fill="auto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107 311,67</w:t>
            </w:r>
          </w:p>
        </w:tc>
      </w:tr>
      <w:tr w:rsidR="004D3639" w:rsidRPr="004D3639" w:rsidTr="004D3639">
        <w:trPr>
          <w:trHeight w:hRule="exact" w:val="304"/>
          <w:jc w:val="center"/>
        </w:trPr>
        <w:tc>
          <w:tcPr>
            <w:tcW w:w="2350" w:type="dxa"/>
            <w:shd w:val="clear" w:color="auto" w:fill="B8CCE4" w:themeFill="accent1" w:themeFillTint="66"/>
            <w:noWrap/>
            <w:vAlign w:val="center"/>
            <w:hideMark/>
          </w:tcPr>
          <w:p w:rsidR="004D3639" w:rsidRPr="004D3639" w:rsidRDefault="004D3639" w:rsidP="004D3639">
            <w:pPr>
              <w:rPr>
                <w:rFonts w:asciiTheme="minorHAnsi" w:hAnsiTheme="minorHAnsi" w:cstheme="minorHAnsi"/>
                <w:b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PASÍVA</w:t>
            </w:r>
          </w:p>
        </w:tc>
        <w:tc>
          <w:tcPr>
            <w:tcW w:w="2126" w:type="dxa"/>
            <w:shd w:val="clear" w:color="auto" w:fill="B8CCE4" w:themeFill="accent1" w:themeFillTint="66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488 017 082,29</w:t>
            </w:r>
          </w:p>
        </w:tc>
        <w:tc>
          <w:tcPr>
            <w:tcW w:w="1843" w:type="dxa"/>
            <w:shd w:val="clear" w:color="auto" w:fill="B8CCE4" w:themeFill="accent1" w:themeFillTint="66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517 684 668,15</w:t>
            </w:r>
          </w:p>
        </w:tc>
        <w:tc>
          <w:tcPr>
            <w:tcW w:w="1701" w:type="dxa"/>
            <w:shd w:val="clear" w:color="auto" w:fill="B8CCE4" w:themeFill="accent1" w:themeFillTint="66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b/>
                <w:sz w:val="18"/>
                <w:szCs w:val="18"/>
                <w:lang w:eastAsia="sk-SK"/>
              </w:rPr>
              <w:t>29 667 585,86</w:t>
            </w:r>
          </w:p>
        </w:tc>
      </w:tr>
      <w:tr w:rsidR="004D3639" w:rsidRPr="004D3639" w:rsidTr="004D3639">
        <w:trPr>
          <w:trHeight w:hRule="exact" w:val="304"/>
          <w:jc w:val="center"/>
        </w:trPr>
        <w:tc>
          <w:tcPr>
            <w:tcW w:w="2350" w:type="dxa"/>
            <w:shd w:val="clear" w:color="auto" w:fill="auto"/>
            <w:noWrap/>
            <w:vAlign w:val="center"/>
            <w:hideMark/>
          </w:tcPr>
          <w:p w:rsidR="004D3639" w:rsidRPr="004D3639" w:rsidRDefault="004D3639" w:rsidP="004D3639">
            <w:pPr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Vlastné imanie</w:t>
            </w:r>
          </w:p>
        </w:tc>
        <w:tc>
          <w:tcPr>
            <w:tcW w:w="2126" w:type="dxa"/>
            <w:shd w:val="clear" w:color="auto" w:fill="auto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216 743 696,64</w:t>
            </w:r>
          </w:p>
        </w:tc>
        <w:tc>
          <w:tcPr>
            <w:tcW w:w="1843" w:type="dxa"/>
            <w:shd w:val="clear" w:color="auto" w:fill="auto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229 150 352,11</w:t>
            </w:r>
          </w:p>
        </w:tc>
        <w:tc>
          <w:tcPr>
            <w:tcW w:w="1701" w:type="dxa"/>
            <w:shd w:val="clear" w:color="auto" w:fill="auto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12 406 655,47</w:t>
            </w:r>
          </w:p>
        </w:tc>
      </w:tr>
      <w:tr w:rsidR="004D3639" w:rsidRPr="004D3639" w:rsidTr="004D3639">
        <w:trPr>
          <w:trHeight w:hRule="exact" w:val="304"/>
          <w:jc w:val="center"/>
        </w:trPr>
        <w:tc>
          <w:tcPr>
            <w:tcW w:w="2350" w:type="dxa"/>
            <w:shd w:val="clear" w:color="auto" w:fill="auto"/>
            <w:noWrap/>
            <w:vAlign w:val="center"/>
            <w:hideMark/>
          </w:tcPr>
          <w:p w:rsidR="004D3639" w:rsidRPr="004D3639" w:rsidRDefault="004D3639" w:rsidP="004D3639">
            <w:pPr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Záväzky</w:t>
            </w:r>
          </w:p>
        </w:tc>
        <w:tc>
          <w:tcPr>
            <w:tcW w:w="2126" w:type="dxa"/>
            <w:shd w:val="clear" w:color="auto" w:fill="auto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233 686 104,23</w:t>
            </w:r>
          </w:p>
        </w:tc>
        <w:tc>
          <w:tcPr>
            <w:tcW w:w="1843" w:type="dxa"/>
            <w:shd w:val="clear" w:color="auto" w:fill="auto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251 170 705,01</w:t>
            </w:r>
          </w:p>
        </w:tc>
        <w:tc>
          <w:tcPr>
            <w:tcW w:w="1701" w:type="dxa"/>
            <w:shd w:val="clear" w:color="auto" w:fill="auto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17 484 600,78</w:t>
            </w:r>
          </w:p>
        </w:tc>
      </w:tr>
      <w:tr w:rsidR="004D3639" w:rsidRPr="004D3639" w:rsidTr="004D3639">
        <w:trPr>
          <w:trHeight w:hRule="exact" w:val="304"/>
          <w:jc w:val="center"/>
        </w:trPr>
        <w:tc>
          <w:tcPr>
            <w:tcW w:w="2350" w:type="dxa"/>
            <w:shd w:val="clear" w:color="auto" w:fill="auto"/>
            <w:noWrap/>
            <w:vAlign w:val="center"/>
            <w:hideMark/>
          </w:tcPr>
          <w:p w:rsidR="004D3639" w:rsidRPr="004D3639" w:rsidRDefault="004D3639" w:rsidP="004D3639">
            <w:pPr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Časové rozlíšenie</w:t>
            </w:r>
          </w:p>
        </w:tc>
        <w:tc>
          <w:tcPr>
            <w:tcW w:w="2126" w:type="dxa"/>
            <w:shd w:val="clear" w:color="auto" w:fill="auto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37 587 281,42</w:t>
            </w:r>
          </w:p>
        </w:tc>
        <w:tc>
          <w:tcPr>
            <w:tcW w:w="1843" w:type="dxa"/>
            <w:shd w:val="clear" w:color="auto" w:fill="auto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37 363 611,03</w:t>
            </w:r>
          </w:p>
        </w:tc>
        <w:tc>
          <w:tcPr>
            <w:tcW w:w="1701" w:type="dxa"/>
            <w:shd w:val="clear" w:color="auto" w:fill="auto"/>
            <w:noWrap/>
          </w:tcPr>
          <w:p w:rsidR="004D3639" w:rsidRPr="004D3639" w:rsidRDefault="004D3639" w:rsidP="004D3639">
            <w:pPr>
              <w:jc w:val="right"/>
              <w:rPr>
                <w:rFonts w:asciiTheme="minorHAnsi" w:hAnsiTheme="minorHAnsi" w:cstheme="minorHAnsi"/>
                <w:bCs w:val="0"/>
                <w:sz w:val="18"/>
                <w:szCs w:val="18"/>
                <w:lang w:eastAsia="sk-SK"/>
              </w:rPr>
            </w:pPr>
            <w:r w:rsidRPr="004D3639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-223 670,39</w:t>
            </w:r>
          </w:p>
        </w:tc>
      </w:tr>
    </w:tbl>
    <w:p w:rsidR="004D3639" w:rsidRDefault="004D3639" w:rsidP="009810D7">
      <w:pPr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4D0B40" w:rsidRPr="004D0B40" w:rsidRDefault="004D3639" w:rsidP="009810D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D0B40">
        <w:rPr>
          <w:rFonts w:asciiTheme="minorHAnsi" w:hAnsiTheme="minorHAnsi" w:cstheme="minorHAnsi"/>
          <w:sz w:val="22"/>
          <w:szCs w:val="22"/>
        </w:rPr>
        <w:t xml:space="preserve">Porovnávaním stavu aktív a pasív BSK k 31. 12. 2019, ktorých výška bola uvedená v Záverečnom účte za rok 2019 so stavom uvedeným k 31. 12. 2019 v Záverečnom účte za rok 2020 bol zistený rozdiel vo výške </w:t>
      </w:r>
      <w:r w:rsidRPr="004D0B40">
        <w:rPr>
          <w:rFonts w:asciiTheme="minorHAnsi" w:hAnsiTheme="minorHAnsi" w:cstheme="minorHAnsi"/>
          <w:b/>
          <w:sz w:val="22"/>
          <w:szCs w:val="22"/>
        </w:rPr>
        <w:t xml:space="preserve">2 722 635,17 EUR </w:t>
      </w:r>
      <w:r w:rsidRPr="004D0B40">
        <w:rPr>
          <w:rFonts w:asciiTheme="minorHAnsi" w:hAnsiTheme="minorHAnsi" w:cstheme="minorHAnsi"/>
          <w:sz w:val="22"/>
          <w:szCs w:val="22"/>
        </w:rPr>
        <w:t xml:space="preserve">(v Záverečnom účte za rok 2019 </w:t>
      </w:r>
      <w:r w:rsidR="005C0D0D" w:rsidRPr="004D0B40">
        <w:rPr>
          <w:rFonts w:asciiTheme="minorHAnsi" w:hAnsiTheme="minorHAnsi" w:cstheme="minorHAnsi"/>
          <w:sz w:val="22"/>
          <w:szCs w:val="22"/>
        </w:rPr>
        <w:t>bola</w:t>
      </w:r>
      <w:r w:rsidRPr="004D0B40">
        <w:rPr>
          <w:rFonts w:asciiTheme="minorHAnsi" w:hAnsiTheme="minorHAnsi" w:cstheme="minorHAnsi"/>
          <w:sz w:val="22"/>
          <w:szCs w:val="22"/>
        </w:rPr>
        <w:t xml:space="preserve"> uvedená suma </w:t>
      </w:r>
      <w:r w:rsidRPr="004D0B40">
        <w:rPr>
          <w:rFonts w:asciiTheme="minorHAnsi" w:hAnsiTheme="minorHAnsi" w:cstheme="minorHAnsi"/>
          <w:b/>
          <w:sz w:val="22"/>
          <w:szCs w:val="22"/>
        </w:rPr>
        <w:t>490 739 717,46 EUR</w:t>
      </w:r>
      <w:r w:rsidRPr="004D0B40">
        <w:rPr>
          <w:rFonts w:asciiTheme="minorHAnsi" w:hAnsiTheme="minorHAnsi" w:cstheme="minorHAnsi"/>
          <w:sz w:val="22"/>
          <w:szCs w:val="22"/>
        </w:rPr>
        <w:t>). Kontrolou rozdielu bolo zistené, že v priebehu roka 2020 došlo k zániku dvoch organizácií</w:t>
      </w:r>
      <w:r w:rsidR="004D0B40">
        <w:rPr>
          <w:rFonts w:asciiTheme="minorHAnsi" w:hAnsiTheme="minorHAnsi" w:cstheme="minorHAnsi"/>
          <w:sz w:val="22"/>
          <w:szCs w:val="22"/>
        </w:rPr>
        <w:t xml:space="preserve"> (</w:t>
      </w:r>
      <w:r w:rsidR="00E56817">
        <w:rPr>
          <w:rFonts w:asciiTheme="minorHAnsi" w:hAnsiTheme="minorHAnsi" w:cstheme="minorHAnsi"/>
          <w:sz w:val="22"/>
          <w:szCs w:val="22"/>
        </w:rPr>
        <w:t xml:space="preserve">rozdiel vznikol pri </w:t>
      </w:r>
      <w:r w:rsidR="004D0B40">
        <w:rPr>
          <w:rFonts w:asciiTheme="minorHAnsi" w:hAnsiTheme="minorHAnsi" w:cstheme="minorHAnsi"/>
          <w:sz w:val="22"/>
          <w:szCs w:val="22"/>
        </w:rPr>
        <w:t>zostaven</w:t>
      </w:r>
      <w:r w:rsidR="00E56817">
        <w:rPr>
          <w:rFonts w:asciiTheme="minorHAnsi" w:hAnsiTheme="minorHAnsi" w:cstheme="minorHAnsi"/>
          <w:sz w:val="22"/>
          <w:szCs w:val="22"/>
        </w:rPr>
        <w:t>í</w:t>
      </w:r>
      <w:r w:rsidR="004D0B40">
        <w:rPr>
          <w:rFonts w:asciiTheme="minorHAnsi" w:hAnsiTheme="minorHAnsi" w:cstheme="minorHAnsi"/>
          <w:sz w:val="22"/>
          <w:szCs w:val="22"/>
        </w:rPr>
        <w:t xml:space="preserve"> mimoriadnych účtovných závierok v priebehu roka 2020)</w:t>
      </w:r>
      <w:r w:rsidR="004D0B40" w:rsidRPr="004D0B40">
        <w:rPr>
          <w:rFonts w:asciiTheme="minorHAnsi" w:hAnsiTheme="minorHAnsi" w:cstheme="minorHAnsi"/>
          <w:sz w:val="22"/>
          <w:szCs w:val="22"/>
        </w:rPr>
        <w:t>:</w:t>
      </w:r>
    </w:p>
    <w:p w:rsidR="004D0B40" w:rsidRPr="004D0B40" w:rsidRDefault="004D0B40" w:rsidP="009810D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4D0B40" w:rsidRPr="004D0B40" w:rsidRDefault="004D0B40" w:rsidP="004D0B40">
      <w:pPr>
        <w:pStyle w:val="Odsekzoznamu"/>
        <w:numPr>
          <w:ilvl w:val="0"/>
          <w:numId w:val="49"/>
        </w:numPr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4D0B40">
        <w:rPr>
          <w:rFonts w:asciiTheme="minorHAnsi" w:hAnsiTheme="minorHAnsi" w:cstheme="minorHAnsi"/>
          <w:sz w:val="22"/>
          <w:szCs w:val="22"/>
        </w:rPr>
        <w:t xml:space="preserve">Uznesením č. 235/2020 zo dňa 28.2.2020 Zastupiteľstvo BSK schválilo návrh na vyradenie Strednej športovej školy so sídlom </w:t>
      </w:r>
      <w:proofErr w:type="spellStart"/>
      <w:r w:rsidRPr="004D0B40">
        <w:rPr>
          <w:rFonts w:asciiTheme="minorHAnsi" w:hAnsiTheme="minorHAnsi" w:cstheme="minorHAnsi"/>
          <w:sz w:val="22"/>
          <w:szCs w:val="22"/>
        </w:rPr>
        <w:t>Ostredková</w:t>
      </w:r>
      <w:proofErr w:type="spellEnd"/>
      <w:r w:rsidRPr="004D0B40">
        <w:rPr>
          <w:rFonts w:asciiTheme="minorHAnsi" w:hAnsiTheme="minorHAnsi" w:cstheme="minorHAnsi"/>
          <w:sz w:val="22"/>
          <w:szCs w:val="22"/>
        </w:rPr>
        <w:t xml:space="preserve"> 10, Bratislava s jej súčasťou Školská jedáleň zo siete škôl a školských zariadení Ministerstva školstva, vedy, výskumu a športu Slovenskej republiky a návrh na zaradenie Spojenej školy so sídlom </w:t>
      </w:r>
      <w:proofErr w:type="spellStart"/>
      <w:r w:rsidRPr="004D0B40">
        <w:rPr>
          <w:rFonts w:asciiTheme="minorHAnsi" w:hAnsiTheme="minorHAnsi" w:cstheme="minorHAnsi"/>
          <w:sz w:val="22"/>
          <w:szCs w:val="22"/>
        </w:rPr>
        <w:t>Ostredková</w:t>
      </w:r>
      <w:proofErr w:type="spellEnd"/>
      <w:r w:rsidRPr="004D0B40">
        <w:rPr>
          <w:rFonts w:asciiTheme="minorHAnsi" w:hAnsiTheme="minorHAnsi" w:cstheme="minorHAnsi"/>
          <w:sz w:val="22"/>
          <w:szCs w:val="22"/>
        </w:rPr>
        <w:t xml:space="preserve"> 10, Bratislava, s organizačnými zložkami Základná škola a Stredná športová škola a súčasťou Školská jedáleň do siete škôl a školských zariadení Ministerstva školstva, vedy, výskumu a športu Slovenskej republiky. </w:t>
      </w:r>
    </w:p>
    <w:p w:rsidR="004D3639" w:rsidRPr="004D0B40" w:rsidRDefault="004D0B40" w:rsidP="004D0B40">
      <w:pPr>
        <w:pStyle w:val="Odsekzoznamu"/>
        <w:numPr>
          <w:ilvl w:val="0"/>
          <w:numId w:val="49"/>
        </w:numPr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4D0B40">
        <w:rPr>
          <w:rFonts w:asciiTheme="minorHAnsi" w:hAnsiTheme="minorHAnsi" w:cstheme="minorHAnsi"/>
          <w:sz w:val="22"/>
          <w:szCs w:val="22"/>
        </w:rPr>
        <w:t>Uznesením č. 257/2020 zo dňa 25.5.2020 Zastupiteľstvo BSK schválilo návrh na vyradenie Gymnázia so</w:t>
      </w:r>
      <w:r w:rsidR="009E30C4">
        <w:rPr>
          <w:rFonts w:asciiTheme="minorHAnsi" w:hAnsiTheme="minorHAnsi" w:cstheme="minorHAnsi"/>
          <w:sz w:val="22"/>
          <w:szCs w:val="22"/>
        </w:rPr>
        <w:t> </w:t>
      </w:r>
      <w:r w:rsidRPr="004D0B40">
        <w:rPr>
          <w:rFonts w:asciiTheme="minorHAnsi" w:hAnsiTheme="minorHAnsi" w:cstheme="minorHAnsi"/>
          <w:sz w:val="22"/>
          <w:szCs w:val="22"/>
        </w:rPr>
        <w:t xml:space="preserve">sídlom </w:t>
      </w:r>
      <w:proofErr w:type="spellStart"/>
      <w:r w:rsidRPr="004D0B40">
        <w:rPr>
          <w:rFonts w:asciiTheme="minorHAnsi" w:hAnsiTheme="minorHAnsi" w:cstheme="minorHAnsi"/>
          <w:sz w:val="22"/>
          <w:szCs w:val="22"/>
        </w:rPr>
        <w:t>Pankúchova</w:t>
      </w:r>
      <w:proofErr w:type="spellEnd"/>
      <w:r w:rsidRPr="004D0B40">
        <w:rPr>
          <w:rFonts w:asciiTheme="minorHAnsi" w:hAnsiTheme="minorHAnsi" w:cstheme="minorHAnsi"/>
          <w:sz w:val="22"/>
          <w:szCs w:val="22"/>
        </w:rPr>
        <w:t xml:space="preserve"> 6, Bratislava, so súčasťou Školská jedáleň zo siete škôl a školských zariadení Ministerstva školstva, vedy, výskumu a športu Slovenskej republiky a návrh na zaradenie Spojenej školy </w:t>
      </w:r>
      <w:r w:rsidRPr="004D0B40">
        <w:rPr>
          <w:rFonts w:asciiTheme="minorHAnsi" w:hAnsiTheme="minorHAnsi" w:cstheme="minorHAnsi"/>
          <w:sz w:val="22"/>
          <w:szCs w:val="22"/>
        </w:rPr>
        <w:lastRenderedPageBreak/>
        <w:t xml:space="preserve">so sídlom </w:t>
      </w:r>
      <w:proofErr w:type="spellStart"/>
      <w:r w:rsidRPr="004D0B40">
        <w:rPr>
          <w:rFonts w:asciiTheme="minorHAnsi" w:hAnsiTheme="minorHAnsi" w:cstheme="minorHAnsi"/>
          <w:sz w:val="22"/>
          <w:szCs w:val="22"/>
        </w:rPr>
        <w:t>Pankúchova</w:t>
      </w:r>
      <w:proofErr w:type="spellEnd"/>
      <w:r w:rsidRPr="004D0B40">
        <w:rPr>
          <w:rFonts w:asciiTheme="minorHAnsi" w:hAnsiTheme="minorHAnsi" w:cstheme="minorHAnsi"/>
          <w:sz w:val="22"/>
          <w:szCs w:val="22"/>
        </w:rPr>
        <w:t xml:space="preserve"> 6, Bratislava, s organizačnými zložkami Základná škola a Gymnázium a súčasťami Školský klub detí a Školská jedáleň do siete škôl a školských zariadení Ministerstva školstva, vedy, výskumu a športu Slovenskej republiky.</w:t>
      </w:r>
      <w:r w:rsidR="005C0D0D" w:rsidRPr="004D0B4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4D3639" w:rsidRDefault="004D3639" w:rsidP="009810D7">
      <w:pPr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810D7" w:rsidRPr="00D121D9" w:rsidRDefault="009810D7" w:rsidP="009810D7">
      <w:pPr>
        <w:pStyle w:val="Popis"/>
        <w:tabs>
          <w:tab w:val="left" w:pos="720"/>
        </w:tabs>
        <w:rPr>
          <w:rFonts w:asciiTheme="minorHAnsi" w:hAnsiTheme="minorHAnsi" w:cstheme="minorHAnsi"/>
          <w:color w:val="FF0000"/>
          <w:sz w:val="22"/>
          <w:szCs w:val="22"/>
        </w:rPr>
      </w:pPr>
      <w:r w:rsidRPr="008D2826">
        <w:rPr>
          <w:rFonts w:asciiTheme="minorHAnsi" w:hAnsiTheme="minorHAnsi" w:cstheme="minorHAnsi"/>
          <w:color w:val="auto"/>
          <w:sz w:val="22"/>
          <w:szCs w:val="22"/>
        </w:rPr>
        <w:t xml:space="preserve">2.4      Stav a vývoj dlhu </w:t>
      </w:r>
    </w:p>
    <w:p w:rsidR="009810D7" w:rsidRPr="00D121D9" w:rsidRDefault="009810D7" w:rsidP="009810D7">
      <w:pPr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9810D7" w:rsidRDefault="009810D7" w:rsidP="009810D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227B1">
        <w:rPr>
          <w:rFonts w:asciiTheme="minorHAnsi" w:hAnsiTheme="minorHAnsi" w:cstheme="minorHAnsi"/>
          <w:sz w:val="22"/>
          <w:szCs w:val="22"/>
        </w:rPr>
        <w:t xml:space="preserve">Výška zostatku </w:t>
      </w:r>
      <w:r w:rsidR="005F3DD5" w:rsidRPr="004227B1">
        <w:rPr>
          <w:rFonts w:asciiTheme="minorHAnsi" w:hAnsiTheme="minorHAnsi" w:cstheme="minorHAnsi"/>
          <w:sz w:val="22"/>
          <w:szCs w:val="22"/>
        </w:rPr>
        <w:t xml:space="preserve">istín </w:t>
      </w:r>
      <w:r w:rsidRPr="004227B1">
        <w:rPr>
          <w:rFonts w:asciiTheme="minorHAnsi" w:hAnsiTheme="minorHAnsi" w:cstheme="minorHAnsi"/>
          <w:sz w:val="22"/>
          <w:szCs w:val="22"/>
        </w:rPr>
        <w:t xml:space="preserve">prijatých úverov </w:t>
      </w:r>
      <w:r w:rsidR="00880B54" w:rsidRPr="004227B1">
        <w:rPr>
          <w:rFonts w:asciiTheme="minorHAnsi" w:hAnsiTheme="minorHAnsi" w:cstheme="minorHAnsi"/>
          <w:sz w:val="22"/>
          <w:szCs w:val="22"/>
        </w:rPr>
        <w:t>z</w:t>
      </w:r>
      <w:r w:rsidR="00A75548" w:rsidRPr="004227B1">
        <w:rPr>
          <w:rFonts w:asciiTheme="minorHAnsi" w:hAnsiTheme="minorHAnsi" w:cstheme="minorHAnsi"/>
          <w:sz w:val="22"/>
          <w:szCs w:val="22"/>
        </w:rPr>
        <w:t> </w:t>
      </w:r>
      <w:r w:rsidRPr="004227B1">
        <w:rPr>
          <w:rFonts w:asciiTheme="minorHAnsi" w:hAnsiTheme="minorHAnsi" w:cstheme="minorHAnsi"/>
          <w:sz w:val="22"/>
          <w:szCs w:val="22"/>
        </w:rPr>
        <w:t>b</w:t>
      </w:r>
      <w:r w:rsidR="00880B54" w:rsidRPr="004227B1">
        <w:rPr>
          <w:rFonts w:asciiTheme="minorHAnsi" w:hAnsiTheme="minorHAnsi" w:cstheme="minorHAnsi"/>
          <w:sz w:val="22"/>
          <w:szCs w:val="22"/>
        </w:rPr>
        <w:t>ankovýc</w:t>
      </w:r>
      <w:r w:rsidR="00A75548" w:rsidRPr="004227B1">
        <w:rPr>
          <w:rFonts w:asciiTheme="minorHAnsi" w:hAnsiTheme="minorHAnsi" w:cstheme="minorHAnsi"/>
          <w:sz w:val="22"/>
          <w:szCs w:val="22"/>
        </w:rPr>
        <w:t>h</w:t>
      </w:r>
      <w:r w:rsidR="00880B54" w:rsidRPr="004227B1">
        <w:rPr>
          <w:rFonts w:asciiTheme="minorHAnsi" w:hAnsiTheme="minorHAnsi" w:cstheme="minorHAnsi"/>
          <w:sz w:val="22"/>
          <w:szCs w:val="22"/>
        </w:rPr>
        <w:t xml:space="preserve"> inštitúcií bola</w:t>
      </w:r>
      <w:r w:rsidR="00E56817" w:rsidRPr="004227B1">
        <w:rPr>
          <w:rFonts w:asciiTheme="minorHAnsi" w:hAnsiTheme="minorHAnsi" w:cstheme="minorHAnsi"/>
          <w:sz w:val="22"/>
          <w:szCs w:val="22"/>
        </w:rPr>
        <w:t xml:space="preserve"> k 31. 12. 2020</w:t>
      </w:r>
      <w:r w:rsidRPr="004227B1">
        <w:rPr>
          <w:rFonts w:asciiTheme="minorHAnsi" w:hAnsiTheme="minorHAnsi" w:cstheme="minorHAnsi"/>
          <w:sz w:val="22"/>
          <w:szCs w:val="22"/>
        </w:rPr>
        <w:t>, pri  porovnaní so</w:t>
      </w:r>
      <w:r w:rsidR="00D70045" w:rsidRPr="004227B1">
        <w:rPr>
          <w:rFonts w:asciiTheme="minorHAnsi" w:hAnsiTheme="minorHAnsi" w:cstheme="minorHAnsi"/>
          <w:sz w:val="22"/>
          <w:szCs w:val="22"/>
        </w:rPr>
        <w:t> </w:t>
      </w:r>
      <w:r w:rsidRPr="004227B1">
        <w:rPr>
          <w:rFonts w:asciiTheme="minorHAnsi" w:hAnsiTheme="minorHAnsi" w:cstheme="minorHAnsi"/>
          <w:sz w:val="22"/>
          <w:szCs w:val="22"/>
        </w:rPr>
        <w:t>stavmi k 31. 12. 201</w:t>
      </w:r>
      <w:r w:rsidR="00E56817" w:rsidRPr="004227B1">
        <w:rPr>
          <w:rFonts w:asciiTheme="minorHAnsi" w:hAnsiTheme="minorHAnsi" w:cstheme="minorHAnsi"/>
          <w:sz w:val="22"/>
          <w:szCs w:val="22"/>
        </w:rPr>
        <w:t>9</w:t>
      </w:r>
      <w:r w:rsidRPr="004227B1">
        <w:rPr>
          <w:rFonts w:asciiTheme="minorHAnsi" w:hAnsiTheme="minorHAnsi" w:cstheme="minorHAnsi"/>
          <w:sz w:val="22"/>
          <w:szCs w:val="22"/>
        </w:rPr>
        <w:t>, nasledovná:</w:t>
      </w:r>
    </w:p>
    <w:p w:rsidR="00F62DF6" w:rsidRDefault="00F62DF6" w:rsidP="009810D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2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447"/>
        <w:gridCol w:w="1417"/>
        <w:gridCol w:w="1418"/>
      </w:tblGrid>
      <w:tr w:rsidR="00F62DF6" w:rsidRPr="00F62DF6" w:rsidTr="001D6E56">
        <w:trPr>
          <w:trHeight w:val="288"/>
          <w:jc w:val="center"/>
        </w:trPr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8CCE4" w:themeFill="accent1" w:themeFillTint="66"/>
            <w:vAlign w:val="center"/>
            <w:hideMark/>
          </w:tcPr>
          <w:p w:rsidR="00F62DF6" w:rsidRPr="00F62DF6" w:rsidRDefault="00F62DF6" w:rsidP="00F62DF6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Druh bankového úveru podľa splatnosti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B8CCE4" w:themeFill="accent1" w:themeFillTint="66"/>
            <w:vAlign w:val="center"/>
            <w:hideMark/>
          </w:tcPr>
          <w:p w:rsidR="00F62DF6" w:rsidRPr="00F62DF6" w:rsidRDefault="00F62DF6" w:rsidP="00F62DF6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Hodnota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F62DF6" w:rsidRPr="00F62DF6" w:rsidRDefault="00F62DF6" w:rsidP="00F62DF6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Hodnota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F62DF6" w:rsidRPr="00F62DF6" w:rsidRDefault="001D6E56" w:rsidP="00F62DF6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 xml:space="preserve">      R</w:t>
            </w:r>
            <w:r w:rsidR="00F62DF6" w:rsidRPr="00F62DF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ozdiel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2DF6" w:rsidRPr="00F62DF6" w:rsidRDefault="00F62DF6" w:rsidP="00F62DF6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7EE"/>
            <w:vAlign w:val="center"/>
            <w:hideMark/>
          </w:tcPr>
          <w:p w:rsidR="00F62DF6" w:rsidRPr="00F62DF6" w:rsidRDefault="00F62DF6" w:rsidP="00F62DF6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k 31. 12. 2020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62DF6" w:rsidRPr="00F62DF6" w:rsidRDefault="00F62DF6" w:rsidP="00F62DF6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k 31. 12. 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F62DF6" w:rsidRPr="00F62DF6" w:rsidRDefault="00F62DF6" w:rsidP="00F62DF6">
            <w:pPr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 xml:space="preserve">Dlhodobý vedený v OTP Banke Slovensko, </w:t>
            </w:r>
            <w:proofErr w:type="spellStart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535 078,74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687 770,78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-152 692,04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 xml:space="preserve">Krátkodobý vedený v OTP Banke Slovensko, </w:t>
            </w:r>
            <w:proofErr w:type="spellStart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152 692,04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152 692,04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 xml:space="preserve">Dlhodobý vedený v Komerčnej Banke, </w:t>
            </w:r>
            <w:proofErr w:type="spellStart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. (I.)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2 253 838,77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2 754 690,77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-500 852,00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 xml:space="preserve">Dlhodobý vedený v Komerčnej Banke, </w:t>
            </w:r>
            <w:proofErr w:type="spellStart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. (II.)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1 714 290,00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2 285 718,00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-571 428,00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 xml:space="preserve">Dlhodobý vedený v Komerčnej Banke, </w:t>
            </w:r>
            <w:proofErr w:type="spellStart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. (III.)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813 810,57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1 017 264,57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-203 454,00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 xml:space="preserve">Krátkodobý vedený v Komerčnej Banke, </w:t>
            </w:r>
            <w:proofErr w:type="spellStart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. (I.)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500 852,00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500 852,00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 xml:space="preserve">Krátkodobý vedený v Komerčnej Banke, </w:t>
            </w:r>
            <w:proofErr w:type="spellStart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. (II.)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571 428,00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571 428,00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 xml:space="preserve">Krátkodobý vedený v Komerčnej Banke, </w:t>
            </w:r>
            <w:proofErr w:type="spellStart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. (III.)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203 454,00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203 454,00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Dlhodobý poskytnutý EIB (I.)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4 802 524,42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5 085 025,86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-282 501,44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Dlhodobý poskytnutý EIB (II.)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2 406 666,74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2 533 333,40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-126 666,66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Dlhodobý poskytnutý EIB (III.)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4 171 583,40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4 380 162,56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-208 579,16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Dlhodobý poskytnutý EIB (IV.)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2 492 787,22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2 611 491,38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-118 704,16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Dlhodobý poskytnutý EIB (V.)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2 184 203,77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2 283 485,77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-99 282,00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Dlhodobý poskytnutý EIB (VI.)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6 160 000,00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6 440 000,00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-280 000,00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Dlhodobý poskytnutý EIB (VII.)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1 760 000,00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1 840 000,00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-80 000,00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Dlhodobý poskytnutý EIB (VIII.)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6 440 000,00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6 720 000,00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-280 000,00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Krátkodobý poskytnutý EIB (I.)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282 501,44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282 501,44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Krátkodobý poskytnutý EIB (II.)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126 666,66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126 666,66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Krátkodobý poskytnutý EIB (III.)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208 579,16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208 579,16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Krátkodobý poskytnutý EIB (IV.)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118 704,16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118 704,16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Krátkodobý poskytnutý EIB (V.)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99 282,00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99 282,00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Krátkodobý poskytnutý EIB (VI.)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Krátkodobý poskytnutý EIB (VII.)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Krátkodobý poskytnutý EIB (VIII.)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2DF6" w:rsidRPr="00F62DF6" w:rsidTr="000B284B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F62DF6" w:rsidRPr="000B284B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0B284B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Krátkodobý poskytnutý EIB (IX.)</w:t>
            </w:r>
            <w:r w:rsidR="000B284B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 xml:space="preserve"> – prijatý v roku 2020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F62DF6" w:rsidRPr="000B284B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0B284B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F62DF6" w:rsidRPr="000B284B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0B284B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F62DF6" w:rsidRPr="000B284B" w:rsidRDefault="00F62DF6" w:rsidP="00F62DF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0B284B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F62DF6" w:rsidRPr="00F62DF6" w:rsidTr="000B284B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F62DF6" w:rsidRPr="000B284B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0B284B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Dlhodobý poskytnutý EIB (IX.)</w:t>
            </w:r>
            <w:r w:rsidR="000B284B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 xml:space="preserve"> – prijatý v roku 2020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F62DF6" w:rsidRPr="000B284B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0B284B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5 760 000,00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F62DF6" w:rsidRPr="000B284B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0B284B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F62DF6" w:rsidRPr="000B284B" w:rsidRDefault="00F62DF6" w:rsidP="00F62DF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0B284B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 xml:space="preserve">Dlhodobý vedený v Slovenskej sporiteľni, </w:t>
            </w:r>
            <w:proofErr w:type="spellStart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. (I.)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2 704 374,80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3 037 710,80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-333 336,00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 xml:space="preserve">Krátkodobý vedený v Slovenskej sporiteľni, </w:t>
            </w:r>
            <w:proofErr w:type="spellStart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. (I.)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333 336,00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333 336,00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0,00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 xml:space="preserve">Dlhodobý vedený v Slovenskej sporiteľni, </w:t>
            </w:r>
            <w:proofErr w:type="spellStart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. (II.)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7 333 328,00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7 999 996,00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-666 668,00</w:t>
            </w:r>
          </w:p>
        </w:tc>
      </w:tr>
      <w:tr w:rsidR="00F62DF6" w:rsidRPr="00F62DF6" w:rsidTr="00F62DF6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 xml:space="preserve">Krátkodobý vedený v Slovenskej sporiteľni, </w:t>
            </w:r>
            <w:proofErr w:type="spellStart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a.s</w:t>
            </w:r>
            <w:proofErr w:type="spellEnd"/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. (II.)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666 668,00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666 668,00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2DF6" w:rsidRPr="00F62DF6" w:rsidRDefault="00F62DF6" w:rsidP="00F62DF6">
            <w:pPr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Cs w:val="0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F62DF6" w:rsidRPr="00F62DF6" w:rsidTr="000B284B">
        <w:trPr>
          <w:trHeight w:val="288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F62DF6" w:rsidRPr="00F62DF6" w:rsidRDefault="00F62DF6" w:rsidP="00F62DF6">
            <w:pPr>
              <w:jc w:val="both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 xml:space="preserve">Spolu 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55 676 649,89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53 580 813,35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F62DF6" w:rsidRPr="00F62DF6" w:rsidRDefault="00F62DF6" w:rsidP="00F62DF6">
            <w:pPr>
              <w:jc w:val="right"/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</w:pPr>
            <w:r w:rsidRPr="00F62DF6">
              <w:rPr>
                <w:rFonts w:ascii="Calibri" w:hAnsi="Calibri" w:cs="Calibri"/>
                <w:b/>
                <w:color w:val="000000"/>
                <w:sz w:val="18"/>
                <w:szCs w:val="18"/>
                <w:lang w:eastAsia="sk-SK"/>
              </w:rPr>
              <w:t>-3 904 163,46</w:t>
            </w:r>
          </w:p>
        </w:tc>
      </w:tr>
    </w:tbl>
    <w:p w:rsidR="00F62DF6" w:rsidRDefault="00F62DF6" w:rsidP="009810D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3D1E6F" w:rsidRDefault="003D1E6F" w:rsidP="003D1E6F">
      <w:pPr>
        <w:ind w:firstLine="708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Okrem uvedeného BSK prijal v roku 2020 </w:t>
      </w:r>
      <w:r w:rsidRPr="00C72AAD">
        <w:rPr>
          <w:rFonts w:asciiTheme="minorHAnsi" w:hAnsiTheme="minorHAnsi" w:cstheme="minorHAnsi"/>
          <w:color w:val="000000"/>
          <w:sz w:val="22"/>
          <w:szCs w:val="22"/>
        </w:rPr>
        <w:t>návratn</w:t>
      </w:r>
      <w:r>
        <w:rPr>
          <w:rFonts w:asciiTheme="minorHAnsi" w:hAnsiTheme="minorHAnsi" w:cstheme="minorHAnsi"/>
          <w:color w:val="000000"/>
          <w:sz w:val="22"/>
          <w:szCs w:val="22"/>
        </w:rPr>
        <w:t>ú</w:t>
      </w:r>
      <w:r w:rsidRPr="00C72AAD">
        <w:rPr>
          <w:rFonts w:asciiTheme="minorHAnsi" w:hAnsiTheme="minorHAnsi" w:cstheme="minorHAnsi"/>
          <w:color w:val="000000"/>
          <w:sz w:val="22"/>
          <w:szCs w:val="22"/>
        </w:rPr>
        <w:t xml:space="preserve"> finančn</w:t>
      </w:r>
      <w:r>
        <w:rPr>
          <w:rFonts w:asciiTheme="minorHAnsi" w:hAnsiTheme="minorHAnsi" w:cstheme="minorHAnsi"/>
          <w:color w:val="000000"/>
          <w:sz w:val="22"/>
          <w:szCs w:val="22"/>
        </w:rPr>
        <w:t>ú</w:t>
      </w:r>
      <w:r w:rsidRPr="00C72AAD">
        <w:rPr>
          <w:rFonts w:asciiTheme="minorHAnsi" w:hAnsiTheme="minorHAnsi" w:cstheme="minorHAnsi"/>
          <w:color w:val="000000"/>
          <w:sz w:val="22"/>
          <w:szCs w:val="22"/>
        </w:rPr>
        <w:t xml:space="preserve"> výpomoc zo štátnych finančných aktív v sume </w:t>
      </w:r>
      <w:r w:rsidRPr="00C72AAD">
        <w:rPr>
          <w:rFonts w:asciiTheme="minorHAnsi" w:hAnsiTheme="minorHAnsi" w:cstheme="minorHAnsi"/>
          <w:b/>
          <w:color w:val="000000"/>
          <w:sz w:val="22"/>
          <w:szCs w:val="22"/>
        </w:rPr>
        <w:t>5 675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 </w:t>
      </w:r>
      <w:r w:rsidRPr="00C72AAD">
        <w:rPr>
          <w:rFonts w:asciiTheme="minorHAnsi" w:hAnsiTheme="minorHAnsi" w:cstheme="minorHAnsi"/>
          <w:b/>
          <w:color w:val="000000"/>
          <w:sz w:val="22"/>
          <w:szCs w:val="22"/>
        </w:rPr>
        <w:t>346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,00</w:t>
      </w:r>
      <w:r w:rsidRPr="00C72AA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EUR</w:t>
      </w:r>
      <w:r w:rsidRPr="00C72AAD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72AAD">
        <w:rPr>
          <w:rFonts w:asciiTheme="minorHAnsi" w:hAnsiTheme="minorHAnsi" w:cstheme="minorHAnsi"/>
          <w:color w:val="000000"/>
          <w:sz w:val="22"/>
          <w:szCs w:val="22"/>
        </w:rPr>
        <w:t>na kompenzáciu výpadku dane z príjmov fyzických osôb v roku 2020. Poskytnutie návratnej finančnej výpomoci Ministerstvom financií SR bolo schválené Uznesením vlády SR č. 494 z 12.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 augusta 2020 a prvá splátka bude realizovaná až v roku 2024. </w:t>
      </w:r>
      <w:r w:rsidRPr="00E84F4B">
        <w:rPr>
          <w:rFonts w:asciiTheme="minorHAnsi" w:hAnsiTheme="minorHAnsi" w:cstheme="minorHAnsi"/>
          <w:sz w:val="22"/>
          <w:szCs w:val="22"/>
        </w:rPr>
        <w:t xml:space="preserve">V súvahe </w:t>
      </w:r>
      <w:r>
        <w:rPr>
          <w:rFonts w:asciiTheme="minorHAnsi" w:hAnsiTheme="minorHAnsi" w:cstheme="minorHAnsi"/>
          <w:sz w:val="22"/>
          <w:szCs w:val="22"/>
        </w:rPr>
        <w:t>k 31. 12. 2020 bola</w:t>
      </w:r>
      <w:r w:rsidRPr="00E84F4B">
        <w:rPr>
          <w:rFonts w:asciiTheme="minorHAnsi" w:hAnsiTheme="minorHAnsi" w:cstheme="minorHAnsi"/>
          <w:sz w:val="22"/>
          <w:szCs w:val="22"/>
        </w:rPr>
        <w:t xml:space="preserve"> táto </w:t>
      </w:r>
      <w:r>
        <w:rPr>
          <w:rFonts w:asciiTheme="minorHAnsi" w:hAnsiTheme="minorHAnsi" w:cstheme="minorHAnsi"/>
          <w:sz w:val="22"/>
          <w:szCs w:val="22"/>
        </w:rPr>
        <w:t>návratná finančná výpomoc</w:t>
      </w:r>
      <w:r w:rsidRPr="00E84F4B">
        <w:rPr>
          <w:rFonts w:asciiTheme="minorHAnsi" w:hAnsiTheme="minorHAnsi" w:cstheme="minorHAnsi"/>
          <w:sz w:val="22"/>
          <w:szCs w:val="22"/>
        </w:rPr>
        <w:t xml:space="preserve"> mylne vykázaná ako krátkodobá</w:t>
      </w:r>
      <w:r>
        <w:rPr>
          <w:rFonts w:asciiTheme="minorHAnsi" w:hAnsiTheme="minorHAnsi" w:cstheme="minorHAnsi"/>
          <w:sz w:val="22"/>
          <w:szCs w:val="22"/>
        </w:rPr>
        <w:t xml:space="preserve">. Oprava bude vykonaná </w:t>
      </w:r>
      <w:r w:rsidRPr="00E84F4B">
        <w:rPr>
          <w:rFonts w:asciiTheme="minorHAnsi" w:hAnsiTheme="minorHAnsi" w:cstheme="minorHAnsi"/>
          <w:sz w:val="22"/>
          <w:szCs w:val="22"/>
        </w:rPr>
        <w:t>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E84F4B">
        <w:rPr>
          <w:rFonts w:asciiTheme="minorHAnsi" w:hAnsiTheme="minorHAnsi" w:cstheme="minorHAnsi"/>
          <w:sz w:val="22"/>
          <w:szCs w:val="22"/>
        </w:rPr>
        <w:t xml:space="preserve">účtovnom období </w:t>
      </w:r>
      <w:r>
        <w:rPr>
          <w:rFonts w:asciiTheme="minorHAnsi" w:hAnsiTheme="minorHAnsi" w:cstheme="minorHAnsi"/>
          <w:sz w:val="22"/>
          <w:szCs w:val="22"/>
        </w:rPr>
        <w:t xml:space="preserve">roka </w:t>
      </w:r>
      <w:r w:rsidRPr="00E84F4B">
        <w:rPr>
          <w:rFonts w:asciiTheme="minorHAnsi" w:hAnsiTheme="minorHAnsi" w:cstheme="minorHAnsi"/>
          <w:sz w:val="22"/>
          <w:szCs w:val="22"/>
        </w:rPr>
        <w:t>2021.</w:t>
      </w:r>
    </w:p>
    <w:p w:rsidR="00F62DF6" w:rsidRPr="00F62DF6" w:rsidRDefault="003D1E6F" w:rsidP="00F62DF6">
      <w:pPr>
        <w:shd w:val="clear" w:color="auto" w:fill="FFFFFF"/>
        <w:jc w:val="both"/>
        <w:rPr>
          <w:rFonts w:asciiTheme="minorHAnsi" w:hAnsiTheme="minorHAnsi" w:cstheme="minorHAnsi"/>
          <w:b/>
          <w:bCs w:val="0"/>
          <w:sz w:val="22"/>
          <w:szCs w:val="22"/>
        </w:rPr>
      </w:pPr>
      <w:r w:rsidRPr="00F62DF6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</w:p>
    <w:p w:rsidR="00F62DF6" w:rsidRPr="00F62DF6" w:rsidRDefault="00F62DF6" w:rsidP="00F62DF6">
      <w:pPr>
        <w:shd w:val="clear" w:color="auto" w:fill="FFFFFF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62DF6">
        <w:rPr>
          <w:rFonts w:asciiTheme="minorHAnsi" w:hAnsiTheme="minorHAnsi" w:cstheme="minorHAnsi"/>
          <w:sz w:val="22"/>
          <w:szCs w:val="22"/>
        </w:rPr>
        <w:t>Skutočné bežné príjmy za predchádzajúci rozpočtový rok, 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62DF6">
        <w:rPr>
          <w:rFonts w:asciiTheme="minorHAnsi" w:hAnsiTheme="minorHAnsi" w:cstheme="minorHAnsi"/>
          <w:sz w:val="22"/>
          <w:szCs w:val="22"/>
        </w:rPr>
        <w:t xml:space="preserve">j. rok 2019 </w:t>
      </w:r>
      <w:r>
        <w:rPr>
          <w:rFonts w:asciiTheme="minorHAnsi" w:hAnsiTheme="minorHAnsi" w:cstheme="minorHAnsi"/>
          <w:sz w:val="22"/>
          <w:szCs w:val="22"/>
        </w:rPr>
        <w:t xml:space="preserve">boli vo výške </w:t>
      </w:r>
      <w:r w:rsidRPr="00F62DF6">
        <w:rPr>
          <w:rFonts w:asciiTheme="minorHAnsi" w:hAnsiTheme="minorHAnsi" w:cstheme="minorHAnsi"/>
          <w:b/>
          <w:color w:val="000000"/>
          <w:sz w:val="22"/>
          <w:szCs w:val="22"/>
        </w:rPr>
        <w:t>166 251</w:t>
      </w:r>
      <w:r w:rsidR="007326F6">
        <w:rPr>
          <w:rFonts w:asciiTheme="minorHAnsi" w:hAnsiTheme="minorHAnsi" w:cstheme="minorHAnsi"/>
          <w:b/>
          <w:color w:val="000000"/>
          <w:sz w:val="22"/>
          <w:szCs w:val="22"/>
        </w:rPr>
        <w:t> </w:t>
      </w:r>
      <w:r w:rsidRPr="00F62DF6">
        <w:rPr>
          <w:rFonts w:asciiTheme="minorHAnsi" w:hAnsiTheme="minorHAnsi" w:cstheme="minorHAnsi"/>
          <w:b/>
          <w:color w:val="000000"/>
          <w:sz w:val="22"/>
          <w:szCs w:val="22"/>
        </w:rPr>
        <w:t>797</w:t>
      </w:r>
      <w:r w:rsidR="007326F6">
        <w:rPr>
          <w:rFonts w:asciiTheme="minorHAnsi" w:hAnsiTheme="minorHAnsi" w:cstheme="minorHAnsi"/>
          <w:b/>
          <w:color w:val="000000"/>
          <w:sz w:val="22"/>
          <w:szCs w:val="22"/>
        </w:rPr>
        <w:t> </w:t>
      </w:r>
      <w:r w:rsidRPr="00F62DF6">
        <w:rPr>
          <w:rFonts w:asciiTheme="minorHAnsi" w:hAnsiTheme="minorHAnsi" w:cstheme="minorHAnsi"/>
          <w:b/>
          <w:color w:val="000000"/>
          <w:sz w:val="22"/>
          <w:szCs w:val="22"/>
        </w:rPr>
        <w:t>EUR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Pr="00F62DF6">
        <w:rPr>
          <w:rFonts w:asciiTheme="minorHAnsi" w:hAnsiTheme="minorHAnsi" w:cstheme="minorHAnsi"/>
          <w:sz w:val="22"/>
          <w:szCs w:val="22"/>
        </w:rPr>
        <w:t xml:space="preserve">Celková suma dlhu </w:t>
      </w:r>
      <w:r w:rsidR="0088687E">
        <w:rPr>
          <w:rFonts w:asciiTheme="minorHAnsi" w:hAnsiTheme="minorHAnsi" w:cstheme="minorHAnsi"/>
          <w:sz w:val="22"/>
          <w:szCs w:val="22"/>
        </w:rPr>
        <w:t xml:space="preserve">BSK </w:t>
      </w:r>
      <w:r w:rsidRPr="00F62DF6">
        <w:rPr>
          <w:rFonts w:asciiTheme="minorHAnsi" w:hAnsiTheme="minorHAnsi" w:cstheme="minorHAnsi"/>
          <w:sz w:val="22"/>
          <w:szCs w:val="22"/>
        </w:rPr>
        <w:t>k 31.</w:t>
      </w:r>
      <w:r w:rsidR="007326F6">
        <w:rPr>
          <w:rFonts w:asciiTheme="minorHAnsi" w:hAnsiTheme="minorHAnsi" w:cstheme="minorHAnsi"/>
          <w:sz w:val="22"/>
          <w:szCs w:val="22"/>
        </w:rPr>
        <w:t xml:space="preserve"> </w:t>
      </w:r>
      <w:r w:rsidRPr="00F62DF6">
        <w:rPr>
          <w:rFonts w:asciiTheme="minorHAnsi" w:hAnsiTheme="minorHAnsi" w:cstheme="minorHAnsi"/>
          <w:sz w:val="22"/>
          <w:szCs w:val="22"/>
        </w:rPr>
        <w:t>12.</w:t>
      </w:r>
      <w:r w:rsidR="007326F6">
        <w:rPr>
          <w:rFonts w:asciiTheme="minorHAnsi" w:hAnsiTheme="minorHAnsi" w:cstheme="minorHAnsi"/>
          <w:sz w:val="22"/>
          <w:szCs w:val="22"/>
        </w:rPr>
        <w:t xml:space="preserve"> </w:t>
      </w:r>
      <w:r w:rsidRPr="00F62DF6">
        <w:rPr>
          <w:rFonts w:asciiTheme="minorHAnsi" w:hAnsiTheme="minorHAnsi" w:cstheme="minorHAnsi"/>
          <w:sz w:val="22"/>
          <w:szCs w:val="22"/>
        </w:rPr>
        <w:t xml:space="preserve">2020 vo výške </w:t>
      </w:r>
      <w:r w:rsidRPr="00F62DF6">
        <w:rPr>
          <w:rFonts w:asciiTheme="minorHAnsi" w:hAnsiTheme="minorHAnsi" w:cstheme="minorHAnsi"/>
          <w:color w:val="000000"/>
          <w:sz w:val="22"/>
          <w:szCs w:val="22"/>
        </w:rPr>
        <w:t>61 351</w:t>
      </w:r>
      <w:r w:rsidR="00E17095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F62DF6">
        <w:rPr>
          <w:rFonts w:asciiTheme="minorHAnsi" w:hAnsiTheme="minorHAnsi" w:cstheme="minorHAnsi"/>
          <w:color w:val="000000"/>
          <w:sz w:val="22"/>
          <w:szCs w:val="22"/>
        </w:rPr>
        <w:t>99</w:t>
      </w:r>
      <w:r w:rsidR="00E17095">
        <w:rPr>
          <w:rFonts w:asciiTheme="minorHAnsi" w:hAnsiTheme="minorHAnsi" w:cstheme="minorHAnsi"/>
          <w:color w:val="000000"/>
          <w:sz w:val="22"/>
          <w:szCs w:val="22"/>
        </w:rPr>
        <w:t>5,89</w:t>
      </w:r>
      <w:r w:rsidRPr="00F62DF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326F6">
        <w:rPr>
          <w:rFonts w:asciiTheme="minorHAnsi" w:hAnsiTheme="minorHAnsi" w:cstheme="minorHAnsi"/>
          <w:color w:val="000000"/>
          <w:sz w:val="22"/>
          <w:szCs w:val="22"/>
        </w:rPr>
        <w:t>EUR (55 676 649,89 EUR + 5 675 346,00 EUR)</w:t>
      </w:r>
      <w:r w:rsidRPr="00F62DF6">
        <w:rPr>
          <w:rFonts w:asciiTheme="minorHAnsi" w:hAnsiTheme="minorHAnsi" w:cstheme="minorHAnsi"/>
          <w:sz w:val="22"/>
          <w:szCs w:val="22"/>
        </w:rPr>
        <w:t xml:space="preserve"> predstav</w:t>
      </w:r>
      <w:r w:rsidR="007326F6">
        <w:rPr>
          <w:rFonts w:asciiTheme="minorHAnsi" w:hAnsiTheme="minorHAnsi" w:cstheme="minorHAnsi"/>
          <w:sz w:val="22"/>
          <w:szCs w:val="22"/>
        </w:rPr>
        <w:t>ovala</w:t>
      </w:r>
      <w:r w:rsidRPr="00F62DF6">
        <w:rPr>
          <w:rFonts w:asciiTheme="minorHAnsi" w:hAnsiTheme="minorHAnsi" w:cstheme="minorHAnsi"/>
          <w:sz w:val="22"/>
          <w:szCs w:val="22"/>
        </w:rPr>
        <w:t xml:space="preserve"> </w:t>
      </w:r>
      <w:r w:rsidRPr="00F62DF6">
        <w:rPr>
          <w:rFonts w:asciiTheme="minorHAnsi" w:hAnsiTheme="minorHAnsi" w:cstheme="minorHAnsi"/>
          <w:b/>
          <w:sz w:val="22"/>
          <w:szCs w:val="22"/>
        </w:rPr>
        <w:t>36,90 %</w:t>
      </w:r>
      <w:r w:rsidRPr="00F62DF6">
        <w:rPr>
          <w:rFonts w:asciiTheme="minorHAnsi" w:hAnsiTheme="minorHAnsi" w:cstheme="minorHAnsi"/>
          <w:sz w:val="22"/>
          <w:szCs w:val="22"/>
        </w:rPr>
        <w:t xml:space="preserve"> bežných príjmov predchádzajúceho rozpočtového roka</w:t>
      </w:r>
      <w:r w:rsidR="007326F6">
        <w:rPr>
          <w:rFonts w:asciiTheme="minorHAnsi" w:hAnsiTheme="minorHAnsi" w:cstheme="minorHAnsi"/>
          <w:sz w:val="22"/>
          <w:szCs w:val="22"/>
        </w:rPr>
        <w:t xml:space="preserve">. </w:t>
      </w:r>
      <w:r w:rsidRPr="00F62DF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62DF6" w:rsidRPr="00F62DF6" w:rsidRDefault="00F62DF6" w:rsidP="00F62DF6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:rsidR="00F62DF6" w:rsidRPr="00F62DF6" w:rsidRDefault="00F62DF6" w:rsidP="00F62DF6">
      <w:pPr>
        <w:widowControl w:val="0"/>
        <w:shd w:val="clear" w:color="auto" w:fill="FFFFFF"/>
        <w:tabs>
          <w:tab w:val="left" w:pos="-3261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F62DF6">
        <w:rPr>
          <w:rFonts w:asciiTheme="minorHAnsi" w:hAnsiTheme="minorHAnsi" w:cstheme="minorHAnsi"/>
          <w:sz w:val="22"/>
          <w:szCs w:val="22"/>
        </w:rPr>
        <w:t>Skutočné bežné príjmy predchádzajúc</w:t>
      </w:r>
      <w:r w:rsidR="0088687E">
        <w:rPr>
          <w:rFonts w:asciiTheme="minorHAnsi" w:hAnsiTheme="minorHAnsi" w:cstheme="minorHAnsi"/>
          <w:sz w:val="22"/>
          <w:szCs w:val="22"/>
        </w:rPr>
        <w:t>eho</w:t>
      </w:r>
      <w:r w:rsidRPr="00F62DF6">
        <w:rPr>
          <w:rFonts w:asciiTheme="minorHAnsi" w:hAnsiTheme="minorHAnsi" w:cstheme="minorHAnsi"/>
          <w:sz w:val="22"/>
          <w:szCs w:val="22"/>
        </w:rPr>
        <w:t xml:space="preserve"> rozpočtov</w:t>
      </w:r>
      <w:r w:rsidR="0088687E">
        <w:rPr>
          <w:rFonts w:asciiTheme="minorHAnsi" w:hAnsiTheme="minorHAnsi" w:cstheme="minorHAnsi"/>
          <w:sz w:val="22"/>
          <w:szCs w:val="22"/>
        </w:rPr>
        <w:t>ého</w:t>
      </w:r>
      <w:r w:rsidRPr="00F62DF6">
        <w:rPr>
          <w:rFonts w:asciiTheme="minorHAnsi" w:hAnsiTheme="minorHAnsi" w:cstheme="minorHAnsi"/>
          <w:sz w:val="22"/>
          <w:szCs w:val="22"/>
        </w:rPr>
        <w:t xml:space="preserve"> rok</w:t>
      </w:r>
      <w:r w:rsidR="0088687E">
        <w:rPr>
          <w:rFonts w:asciiTheme="minorHAnsi" w:hAnsiTheme="minorHAnsi" w:cstheme="minorHAnsi"/>
          <w:sz w:val="22"/>
          <w:szCs w:val="22"/>
        </w:rPr>
        <w:t>a</w:t>
      </w:r>
      <w:r w:rsidRPr="00F62DF6">
        <w:rPr>
          <w:rFonts w:asciiTheme="minorHAnsi" w:hAnsiTheme="minorHAnsi" w:cstheme="minorHAnsi"/>
          <w:sz w:val="22"/>
          <w:szCs w:val="22"/>
        </w:rPr>
        <w:t>, 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62DF6">
        <w:rPr>
          <w:rFonts w:asciiTheme="minorHAnsi" w:hAnsiTheme="minorHAnsi" w:cstheme="minorHAnsi"/>
          <w:sz w:val="22"/>
          <w:szCs w:val="22"/>
        </w:rPr>
        <w:t>j. rok</w:t>
      </w:r>
      <w:r w:rsidR="0088687E">
        <w:rPr>
          <w:rFonts w:asciiTheme="minorHAnsi" w:hAnsiTheme="minorHAnsi" w:cstheme="minorHAnsi"/>
          <w:sz w:val="22"/>
          <w:szCs w:val="22"/>
        </w:rPr>
        <w:t>a</w:t>
      </w:r>
      <w:r w:rsidRPr="00F62DF6">
        <w:rPr>
          <w:rFonts w:asciiTheme="minorHAnsi" w:hAnsiTheme="minorHAnsi" w:cstheme="minorHAnsi"/>
          <w:sz w:val="22"/>
          <w:szCs w:val="22"/>
        </w:rPr>
        <w:t xml:space="preserve"> 2019</w:t>
      </w:r>
      <w:r w:rsidR="0088687E">
        <w:rPr>
          <w:rFonts w:asciiTheme="minorHAnsi" w:hAnsiTheme="minorHAnsi" w:cstheme="minorHAnsi"/>
          <w:sz w:val="22"/>
          <w:szCs w:val="22"/>
        </w:rPr>
        <w:t xml:space="preserve">, </w:t>
      </w:r>
      <w:r w:rsidR="0088687E" w:rsidRPr="0088687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znížen</w:t>
      </w:r>
      <w:r w:rsidR="0088687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é</w:t>
      </w:r>
      <w:r w:rsidR="0088687E" w:rsidRPr="0088687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 prostriedky poskytnuté v príslušnom rozpočtovom roku </w:t>
      </w:r>
      <w:r w:rsidR="0088687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BSK</w:t>
      </w:r>
      <w:r w:rsidR="0088687E" w:rsidRPr="0088687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 rozpočtu iného subjektu verejnej správy, prostriedky poskytnuté z Európskej únie a iné prostriedky zo zahraničia</w:t>
      </w:r>
      <w:r w:rsidR="001D6E56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  <w:r w:rsidR="0088687E" w:rsidRPr="0088687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alebo prostriedky získané na základe osobitného predpis</w:t>
      </w:r>
      <w:r w:rsidR="0088687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</w:t>
      </w:r>
      <w:r w:rsidR="0088687E" w:rsidRPr="0088687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boli vo výške </w:t>
      </w:r>
      <w:r w:rsidRPr="007326F6">
        <w:rPr>
          <w:rFonts w:asciiTheme="minorHAnsi" w:hAnsiTheme="minorHAnsi" w:cstheme="minorHAnsi"/>
          <w:b/>
          <w:color w:val="000000"/>
          <w:sz w:val="22"/>
          <w:szCs w:val="22"/>
        </w:rPr>
        <w:t>110 336 419 EUR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Pr="00F62DF6">
        <w:rPr>
          <w:rFonts w:asciiTheme="minorHAnsi" w:hAnsiTheme="minorHAnsi" w:cstheme="minorHAnsi"/>
          <w:sz w:val="22"/>
          <w:szCs w:val="22"/>
        </w:rPr>
        <w:t xml:space="preserve">Suma ročných splátok návratných zdrojov financovania vrátane výnosov </w:t>
      </w:r>
      <w:r w:rsidR="0088687E">
        <w:rPr>
          <w:rFonts w:asciiTheme="minorHAnsi" w:hAnsiTheme="minorHAnsi" w:cstheme="minorHAnsi"/>
          <w:sz w:val="22"/>
          <w:szCs w:val="22"/>
        </w:rPr>
        <w:t xml:space="preserve">vo výške </w:t>
      </w:r>
      <w:r w:rsidR="0088687E">
        <w:rPr>
          <w:rFonts w:asciiTheme="minorHAnsi" w:hAnsiTheme="minorHAnsi" w:cstheme="minorHAnsi"/>
          <w:b/>
          <w:sz w:val="22"/>
          <w:szCs w:val="22"/>
        </w:rPr>
        <w:t xml:space="preserve">4 057 499 EUR </w:t>
      </w:r>
      <w:r w:rsidRPr="00F62DF6">
        <w:rPr>
          <w:rFonts w:asciiTheme="minorHAnsi" w:hAnsiTheme="minorHAnsi" w:cstheme="minorHAnsi"/>
          <w:sz w:val="22"/>
          <w:szCs w:val="22"/>
        </w:rPr>
        <w:t>predstav</w:t>
      </w:r>
      <w:r w:rsidR="007326F6">
        <w:rPr>
          <w:rFonts w:asciiTheme="minorHAnsi" w:hAnsiTheme="minorHAnsi" w:cstheme="minorHAnsi"/>
          <w:sz w:val="22"/>
          <w:szCs w:val="22"/>
        </w:rPr>
        <w:t>ovala</w:t>
      </w:r>
      <w:r w:rsidRPr="00F62DF6">
        <w:rPr>
          <w:rFonts w:asciiTheme="minorHAnsi" w:hAnsiTheme="minorHAnsi" w:cstheme="minorHAnsi"/>
          <w:sz w:val="22"/>
          <w:szCs w:val="22"/>
        </w:rPr>
        <w:t xml:space="preserve"> </w:t>
      </w:r>
      <w:r w:rsidRPr="00AD551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3,68 %</w:t>
      </w:r>
      <w:r w:rsidRPr="007326F6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F62DF6">
        <w:rPr>
          <w:rFonts w:asciiTheme="minorHAnsi" w:hAnsiTheme="minorHAnsi" w:cstheme="minorHAnsi"/>
          <w:sz w:val="22"/>
          <w:szCs w:val="22"/>
        </w:rPr>
        <w:t>bežných príjmov znížených o</w:t>
      </w:r>
      <w:r w:rsidR="00AD5517">
        <w:rPr>
          <w:rFonts w:asciiTheme="minorHAnsi" w:hAnsiTheme="minorHAnsi" w:cstheme="minorHAnsi"/>
          <w:sz w:val="22"/>
          <w:szCs w:val="22"/>
        </w:rPr>
        <w:t xml:space="preserve"> uvedené prostriedky. </w:t>
      </w:r>
      <w:r w:rsidRPr="00F62DF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D1A1A" w:rsidRPr="00D121D9" w:rsidRDefault="007D1A1A" w:rsidP="007D1A1A">
      <w:pPr>
        <w:pStyle w:val="Nadpis2"/>
        <w:tabs>
          <w:tab w:val="left" w:pos="720"/>
        </w:tabs>
        <w:rPr>
          <w:rFonts w:asciiTheme="minorHAnsi" w:hAnsiTheme="minorHAnsi" w:cstheme="minorHAnsi"/>
          <w:i w:val="0"/>
          <w:color w:val="FF0000"/>
          <w:sz w:val="22"/>
          <w:szCs w:val="22"/>
        </w:rPr>
      </w:pPr>
      <w:r w:rsidRPr="008D2826">
        <w:rPr>
          <w:rFonts w:asciiTheme="minorHAnsi" w:hAnsiTheme="minorHAnsi" w:cstheme="minorHAnsi"/>
          <w:i w:val="0"/>
          <w:sz w:val="22"/>
          <w:szCs w:val="22"/>
        </w:rPr>
        <w:t>2.5      Prehľad o záväzkoch a pohľadávkach BSK k 31. 12. 20</w:t>
      </w:r>
      <w:r w:rsidR="008D2826" w:rsidRPr="008D2826">
        <w:rPr>
          <w:rFonts w:asciiTheme="minorHAnsi" w:hAnsiTheme="minorHAnsi" w:cstheme="minorHAnsi"/>
          <w:i w:val="0"/>
          <w:sz w:val="22"/>
          <w:szCs w:val="22"/>
        </w:rPr>
        <w:t>20</w:t>
      </w:r>
    </w:p>
    <w:p w:rsidR="007D1A1A" w:rsidRPr="00D121D9" w:rsidRDefault="007D1A1A" w:rsidP="007D1A1A">
      <w:pPr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7D1A1A" w:rsidRPr="006C78BB" w:rsidRDefault="007D1A1A" w:rsidP="006C78BB">
      <w:pPr>
        <w:ind w:firstLine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C78BB">
        <w:rPr>
          <w:rFonts w:asciiTheme="minorHAnsi" w:hAnsiTheme="minorHAnsi" w:cstheme="minorHAnsi"/>
          <w:color w:val="000000" w:themeColor="text1"/>
          <w:sz w:val="22"/>
          <w:szCs w:val="22"/>
        </w:rPr>
        <w:t>Prehľad o záväzkoch a pohľadávkach BSK k 31. 12. 20</w:t>
      </w:r>
      <w:r w:rsidR="00F7079D" w:rsidRPr="006C78BB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Pr="006C78B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 uvedený v časti </w:t>
      </w:r>
      <w:r w:rsidR="00F47CA2" w:rsidRPr="006C78BB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Pr="006C78B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45C2C" w:rsidRPr="006C78BB">
        <w:rPr>
          <w:rFonts w:asciiTheme="minorHAnsi" w:hAnsiTheme="minorHAnsi" w:cstheme="minorHAnsi"/>
          <w:color w:val="000000" w:themeColor="text1"/>
          <w:sz w:val="22"/>
          <w:szCs w:val="22"/>
        </w:rPr>
        <w:t>návrhu</w:t>
      </w:r>
      <w:r w:rsidRPr="006C78B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6076C" w:rsidRPr="006C78BB">
        <w:rPr>
          <w:rFonts w:asciiTheme="minorHAnsi" w:hAnsiTheme="minorHAnsi" w:cstheme="minorHAnsi"/>
          <w:color w:val="000000" w:themeColor="text1"/>
          <w:sz w:val="22"/>
          <w:szCs w:val="22"/>
        </w:rPr>
        <w:t>Z</w:t>
      </w:r>
      <w:r w:rsidRPr="006C78BB">
        <w:rPr>
          <w:rFonts w:asciiTheme="minorHAnsi" w:hAnsiTheme="minorHAnsi" w:cstheme="minorHAnsi"/>
          <w:color w:val="000000" w:themeColor="text1"/>
          <w:sz w:val="22"/>
          <w:szCs w:val="22"/>
        </w:rPr>
        <w:t>áverečného účtu za rok 20</w:t>
      </w:r>
      <w:r w:rsidR="006C78BB" w:rsidRPr="006C78BB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Pr="006C78BB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7D1A1A" w:rsidRPr="00D121D9" w:rsidRDefault="007D1A1A" w:rsidP="006C78BB">
      <w:pPr>
        <w:ind w:firstLine="709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7D1A1A" w:rsidRPr="00085632" w:rsidRDefault="007D1A1A" w:rsidP="006C78BB">
      <w:pPr>
        <w:ind w:firstLine="709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>Celková výška záväzkov BSK (Úrad BSK, rozpočtové a príspevkové organizácie v zriaďovateľskej pôsobnosti BSK) podľa účtovnej závierky k 31. 12. 20</w:t>
      </w:r>
      <w:r w:rsidR="006C78BB"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20 bola </w:t>
      </w:r>
      <w:r w:rsidR="006C78BB" w:rsidRPr="000814E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251 170 705,01 EUR </w:t>
      </w:r>
      <w:r w:rsidR="006C78BB" w:rsidRPr="000814E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(2019 = </w:t>
      </w:r>
      <w:r w:rsidR="00101F8C" w:rsidRPr="000814E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236 458 134,12</w:t>
      </w:r>
      <w:r w:rsidR="009E30C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 </w:t>
      </w:r>
      <w:r w:rsidR="006C78BB" w:rsidRPr="000814E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EUR)</w:t>
      </w:r>
      <w:r w:rsidRPr="000814E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,</w:t>
      </w:r>
      <w:r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 toho dlhodobé záväzky v celkovej sume </w:t>
      </w:r>
      <w:r w:rsidR="006C78BB" w:rsidRPr="000814E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776 831,48 EUR </w:t>
      </w:r>
      <w:r w:rsidR="006C78BB" w:rsidRPr="000814E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(2019 = </w:t>
      </w:r>
      <w:r w:rsidR="00101F8C" w:rsidRPr="000814E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646 159,78</w:t>
      </w:r>
      <w:r w:rsidRPr="000814E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="006C78BB" w:rsidRPr="000814E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EUR)</w:t>
      </w:r>
      <w:r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D218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 krátkodobé záväzky v celkovej sume </w:t>
      </w:r>
      <w:r w:rsidR="003D218F" w:rsidRPr="003D218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13 125 827,51 EUR </w:t>
      </w:r>
      <w:r w:rsidR="003D218F" w:rsidRPr="003D218F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(2019 = </w:t>
      </w:r>
      <w:r w:rsidR="0070435A" w:rsidRPr="003D218F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9</w:t>
      </w:r>
      <w:r w:rsidR="00101F8C" w:rsidRPr="003D218F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 958 211,68</w:t>
      </w:r>
      <w:r w:rsidRPr="003D218F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="003D218F" w:rsidRPr="003D218F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EUR</w:t>
      </w:r>
      <w:r w:rsidR="003D218F" w:rsidRPr="0008563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)</w:t>
      </w:r>
      <w:r w:rsidRPr="0008563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.</w:t>
      </w:r>
      <w:r w:rsidR="00E17095" w:rsidRPr="0008563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Zostatok tvorili bankové úvery a výpomoci v celkovej výške </w:t>
      </w:r>
      <w:r w:rsidR="00E17095" w:rsidRPr="000856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61 351 995,89 EUR </w:t>
      </w:r>
      <w:r w:rsidR="00E17095" w:rsidRPr="0008563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(podrobne v časti „Stav a vývoj dlhu“ tohto stanoviska), rezervy vo výške </w:t>
      </w:r>
      <w:r w:rsidR="00E17095" w:rsidRPr="000856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4 999 840,62 EUR </w:t>
      </w:r>
      <w:r w:rsidR="00E17095" w:rsidRPr="0008563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 zúčtovanie medzi subjektami verejnej správy vo výške </w:t>
      </w:r>
      <w:r w:rsidR="00E17095" w:rsidRPr="000856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170 916 209,51 EUR</w:t>
      </w:r>
      <w:r w:rsidR="00E17095" w:rsidRPr="0008563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Pr="0008563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Medziročne </w:t>
      </w:r>
      <w:r w:rsidR="00941CAE" w:rsidRPr="0008563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sa </w:t>
      </w:r>
      <w:r w:rsidRPr="0008563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celková výška záväzkov </w:t>
      </w:r>
      <w:r w:rsidR="00941CAE" w:rsidRPr="00085632">
        <w:rPr>
          <w:rFonts w:asciiTheme="minorHAnsi" w:hAnsiTheme="minorHAnsi" w:cstheme="minorHAnsi"/>
          <w:color w:val="000000" w:themeColor="text1"/>
          <w:sz w:val="22"/>
          <w:szCs w:val="22"/>
        </w:rPr>
        <w:t>zvýšila</w:t>
      </w:r>
      <w:r w:rsidRPr="0008563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</w:t>
      </w:r>
      <w:r w:rsidR="00085632" w:rsidRPr="00085632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085632" w:rsidRPr="000856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17 484 600,78 EUR</w:t>
      </w:r>
      <w:r w:rsidR="00085632" w:rsidRPr="00085632">
        <w:rPr>
          <w:rFonts w:asciiTheme="minorHAnsi" w:hAnsiTheme="minorHAnsi" w:cstheme="minorHAnsi"/>
          <w:color w:val="000000" w:themeColor="text1"/>
          <w:sz w:val="22"/>
          <w:szCs w:val="22"/>
        </w:rPr>
        <w:t>, t. j. o 7,48 %</w:t>
      </w:r>
      <w:r w:rsidRPr="00085632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7D1A1A" w:rsidRPr="00D121D9" w:rsidRDefault="007D1A1A" w:rsidP="006C78BB">
      <w:pPr>
        <w:ind w:firstLine="709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7D1A1A" w:rsidRPr="002402B8" w:rsidRDefault="00E7697A" w:rsidP="006C78BB">
      <w:pPr>
        <w:ind w:firstLine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C</w:t>
      </w:r>
      <w:r w:rsidR="000F5E90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elková výška pohľadávok </w:t>
      </w:r>
      <w:r w:rsidR="00DA6CF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(po korekciách - netto) </w:t>
      </w:r>
      <w:r w:rsidR="007D1A1A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BSK</w:t>
      </w:r>
      <w:r w:rsidR="009F25F2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F25F2"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>(Úrad BSK, rozpočtové a príspevkové organizácie v zriaďovateľskej pôsobnosti BSK)</w:t>
      </w:r>
      <w:r w:rsid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F25F2"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>podľa účtovnej závierky k 31. 12. 2020 bola</w:t>
      </w:r>
      <w:r w:rsidR="009F25F2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9F25F2" w:rsidRPr="00DA6CF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vo výške </w:t>
      </w:r>
      <w:r w:rsidR="00DA6CF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956 842,02</w:t>
      </w:r>
      <w:r w:rsidR="009F25F2" w:rsidRPr="00DA6CF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EUR </w:t>
      </w:r>
      <w:r w:rsidR="009F25F2" w:rsidRPr="009F25F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(2019 = </w:t>
      </w:r>
      <w:r w:rsidR="008F78D2" w:rsidRPr="009F25F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1</w:t>
      </w:r>
      <w:r w:rsidR="009F25F2" w:rsidRPr="009F25F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 290 868,43 EUR</w:t>
      </w:r>
      <w:r w:rsidR="009F25F2" w:rsidRPr="00DA6CF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)</w:t>
      </w:r>
      <w:r w:rsidR="002E7CDA" w:rsidRPr="00DA6CF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,</w:t>
      </w:r>
      <w:r w:rsidR="007D1A1A" w:rsidRPr="00DA6CF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 tom: dlhodobé pohľadávky</w:t>
      </w:r>
      <w:r w:rsidR="00DA6CFC" w:rsidRPr="00DA6CF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vo výške</w:t>
      </w:r>
      <w:r w:rsidR="007D1A1A" w:rsidRPr="00DA6CF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290C1D" w:rsidRPr="00DA6CF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5 067,14</w:t>
      </w:r>
      <w:r w:rsidR="007D1A1A" w:rsidRPr="00DA6CF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DA6CFC" w:rsidRPr="00DA6CF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EUR</w:t>
      </w:r>
      <w:r w:rsidR="007D1A1A" w:rsidRPr="00DA6CF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D1A1A" w:rsidRPr="00DA6CF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(201</w:t>
      </w:r>
      <w:r w:rsidR="00DA6CFC" w:rsidRPr="00DA6CF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9</w:t>
      </w:r>
      <w:r w:rsidR="007D1A1A" w:rsidRPr="00DA6CF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= </w:t>
      </w:r>
      <w:r w:rsidR="000925F3" w:rsidRPr="00DA6CF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5 067,14 </w:t>
      </w:r>
      <w:r w:rsidR="00DA6CFC" w:rsidRPr="00DA6CF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EUR</w:t>
      </w:r>
      <w:r w:rsidR="007D1A1A" w:rsidRPr="00DA6CF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) </w:t>
      </w:r>
      <w:r w:rsidR="007D1A1A" w:rsidRPr="00DA6CFC">
        <w:rPr>
          <w:rFonts w:asciiTheme="minorHAnsi" w:hAnsiTheme="minorHAnsi" w:cstheme="minorHAnsi"/>
          <w:color w:val="000000" w:themeColor="text1"/>
          <w:sz w:val="22"/>
          <w:szCs w:val="22"/>
        </w:rPr>
        <w:t>a krátkodobé pohľadávky v</w:t>
      </w:r>
      <w:r w:rsidR="00DA6CFC" w:rsidRPr="00DA6CF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 výške </w:t>
      </w:r>
      <w:r w:rsidR="00DA6CF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951 774,88</w:t>
      </w:r>
      <w:r w:rsidR="00DA6CFC" w:rsidRPr="00DA6CFC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EUR </w:t>
      </w:r>
      <w:r w:rsidR="00DA6CFC" w:rsidRPr="00DA6CF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(2019 = </w:t>
      </w:r>
      <w:r w:rsidR="000925F3" w:rsidRPr="00DA6CF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1 </w:t>
      </w:r>
      <w:r w:rsidR="008F78D2" w:rsidRPr="00DA6CF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285</w:t>
      </w:r>
      <w:r w:rsidR="000925F3" w:rsidRPr="00DA6CF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 </w:t>
      </w:r>
      <w:r w:rsidR="008F78D2" w:rsidRPr="00DA6CF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801</w:t>
      </w:r>
      <w:r w:rsidR="000925F3" w:rsidRPr="00DA6CF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,</w:t>
      </w:r>
      <w:r w:rsidR="008F78D2" w:rsidRPr="00DA6CF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29</w:t>
      </w:r>
      <w:r w:rsidR="003A0948" w:rsidRPr="00DA6CF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="00DA6CFC" w:rsidRPr="00DA6CF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EUR)</w:t>
      </w:r>
      <w:r w:rsidR="003A0948" w:rsidRPr="00DA6CF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.</w:t>
      </w:r>
      <w:r w:rsidR="008F78D2" w:rsidRPr="00DA6CFC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="007D1A1A" w:rsidRPr="002402B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Celková výška pohľadávok </w:t>
      </w:r>
      <w:r w:rsidR="001D2140" w:rsidRPr="002402B8">
        <w:rPr>
          <w:rFonts w:asciiTheme="minorHAnsi" w:hAnsiTheme="minorHAnsi" w:cstheme="minorHAnsi"/>
          <w:color w:val="000000" w:themeColor="text1"/>
          <w:sz w:val="22"/>
          <w:szCs w:val="22"/>
        </w:rPr>
        <w:t>k 31.12.</w:t>
      </w:r>
      <w:r w:rsidR="005E5C86" w:rsidRPr="002402B8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="00DA6CFC" w:rsidRPr="002402B8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="001D2140" w:rsidRPr="002402B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</w:t>
      </w:r>
      <w:r w:rsidR="007D1A1A" w:rsidRPr="002402B8">
        <w:rPr>
          <w:rFonts w:asciiTheme="minorHAnsi" w:hAnsiTheme="minorHAnsi" w:cstheme="minorHAnsi"/>
          <w:color w:val="000000" w:themeColor="text1"/>
          <w:sz w:val="22"/>
          <w:szCs w:val="22"/>
        </w:rPr>
        <w:t>po korekciách</w:t>
      </w:r>
      <w:r w:rsidR="00D85325" w:rsidRPr="002402B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-</w:t>
      </w:r>
      <w:r w:rsidR="007D1A1A" w:rsidRPr="002402B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netto</w:t>
      </w:r>
      <w:r w:rsidR="001D2140" w:rsidRPr="002402B8">
        <w:rPr>
          <w:rFonts w:asciiTheme="minorHAnsi" w:hAnsiTheme="minorHAnsi" w:cstheme="minorHAnsi"/>
          <w:color w:val="000000" w:themeColor="text1"/>
          <w:sz w:val="22"/>
          <w:szCs w:val="22"/>
        </w:rPr>
        <w:t>) v</w:t>
      </w:r>
      <w:r w:rsidR="007D1A1A" w:rsidRPr="002402B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 porovnaní s predchádzajúcim rokom </w:t>
      </w:r>
      <w:r w:rsidR="001D2140" w:rsidRPr="002402B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bola </w:t>
      </w:r>
      <w:r w:rsidR="00DA6CFC" w:rsidRPr="002402B8">
        <w:rPr>
          <w:rFonts w:asciiTheme="minorHAnsi" w:hAnsiTheme="minorHAnsi" w:cstheme="minorHAnsi"/>
          <w:color w:val="000000" w:themeColor="text1"/>
          <w:sz w:val="22"/>
          <w:szCs w:val="22"/>
        </w:rPr>
        <w:t>nižšia</w:t>
      </w:r>
      <w:r w:rsidR="001D2140" w:rsidRPr="002402B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</w:t>
      </w:r>
      <w:r w:rsidR="00DA6CFC" w:rsidRPr="002402B8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DA6CFC" w:rsidRPr="002402B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334 026,41 EUR</w:t>
      </w:r>
      <w:r w:rsidR="00DA6CFC" w:rsidRPr="002402B8">
        <w:rPr>
          <w:rFonts w:asciiTheme="minorHAnsi" w:hAnsiTheme="minorHAnsi" w:cstheme="minorHAnsi"/>
          <w:color w:val="000000" w:themeColor="text1"/>
          <w:sz w:val="22"/>
          <w:szCs w:val="22"/>
        </w:rPr>
        <w:t>, t. j. o</w:t>
      </w:r>
      <w:r w:rsidR="002402B8" w:rsidRPr="002402B8">
        <w:rPr>
          <w:rFonts w:asciiTheme="minorHAnsi" w:hAnsiTheme="minorHAnsi" w:cstheme="minorHAnsi"/>
          <w:color w:val="000000" w:themeColor="text1"/>
          <w:sz w:val="22"/>
          <w:szCs w:val="22"/>
        </w:rPr>
        <w:t> 34,91</w:t>
      </w:r>
      <w:r w:rsidR="007D1A1A" w:rsidRPr="002402B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%.</w:t>
      </w:r>
    </w:p>
    <w:p w:rsidR="004B68A9" w:rsidRPr="00D121D9" w:rsidRDefault="004B68A9" w:rsidP="009810D7">
      <w:pPr>
        <w:jc w:val="both"/>
        <w:rPr>
          <w:rFonts w:asciiTheme="minorHAnsi" w:hAnsiTheme="minorHAnsi" w:cstheme="minorHAnsi"/>
          <w:b/>
          <w:color w:val="FF0000"/>
          <w:spacing w:val="20"/>
          <w:sz w:val="22"/>
          <w:szCs w:val="22"/>
          <w:highlight w:val="yellow"/>
        </w:rPr>
      </w:pPr>
    </w:p>
    <w:p w:rsidR="009810D7" w:rsidRPr="00D121D9" w:rsidRDefault="009810D7" w:rsidP="009810D7">
      <w:pPr>
        <w:jc w:val="both"/>
        <w:rPr>
          <w:rFonts w:asciiTheme="minorHAnsi" w:hAnsiTheme="minorHAnsi" w:cstheme="minorHAnsi"/>
          <w:b/>
          <w:color w:val="FF0000"/>
          <w:spacing w:val="20"/>
          <w:sz w:val="22"/>
          <w:szCs w:val="22"/>
        </w:rPr>
      </w:pPr>
      <w:r w:rsidRPr="008D2826">
        <w:rPr>
          <w:rFonts w:asciiTheme="minorHAnsi" w:hAnsiTheme="minorHAnsi" w:cstheme="minorHAnsi"/>
          <w:b/>
          <w:spacing w:val="20"/>
          <w:sz w:val="22"/>
          <w:szCs w:val="22"/>
        </w:rPr>
        <w:t>3</w:t>
      </w:r>
      <w:r w:rsidR="00EB490B" w:rsidRPr="008D2826">
        <w:rPr>
          <w:rFonts w:asciiTheme="minorHAnsi" w:hAnsiTheme="minorHAnsi" w:cstheme="minorHAnsi"/>
          <w:b/>
          <w:spacing w:val="20"/>
          <w:sz w:val="22"/>
          <w:szCs w:val="22"/>
        </w:rPr>
        <w:t>.</w:t>
      </w:r>
      <w:r w:rsidRPr="008D2826">
        <w:rPr>
          <w:rFonts w:asciiTheme="minorHAnsi" w:hAnsiTheme="minorHAnsi" w:cstheme="minorHAnsi"/>
          <w:b/>
          <w:spacing w:val="20"/>
          <w:sz w:val="22"/>
          <w:szCs w:val="22"/>
        </w:rPr>
        <w:t xml:space="preserve">     </w:t>
      </w:r>
      <w:r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 xml:space="preserve">Overenie audítorom a zverejnenie návrhu </w:t>
      </w:r>
      <w:r w:rsidR="00E6076C"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Z</w:t>
      </w:r>
      <w:r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áverečného účtu</w:t>
      </w:r>
      <w:r w:rsidR="00E6076C"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 xml:space="preserve"> za rok 20</w:t>
      </w:r>
      <w:r w:rsidR="008D2826"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20</w:t>
      </w:r>
    </w:p>
    <w:p w:rsidR="009810D7" w:rsidRPr="00D121D9" w:rsidRDefault="009810D7" w:rsidP="009810D7">
      <w:pPr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3F0698" w:rsidRPr="00544233" w:rsidRDefault="009810D7" w:rsidP="00E92CD7">
      <w:pPr>
        <w:jc w:val="both"/>
        <w:rPr>
          <w:rFonts w:asciiTheme="minorHAnsi" w:hAnsiTheme="minorHAnsi" w:cstheme="minorHAnsi"/>
          <w:sz w:val="22"/>
          <w:szCs w:val="22"/>
        </w:rPr>
      </w:pPr>
      <w:r w:rsidRPr="00D121D9">
        <w:rPr>
          <w:rFonts w:asciiTheme="minorHAnsi" w:hAnsiTheme="minorHAnsi" w:cstheme="minorHAnsi"/>
          <w:color w:val="FF0000"/>
          <w:sz w:val="22"/>
          <w:szCs w:val="22"/>
        </w:rPr>
        <w:tab/>
      </w:r>
      <w:r w:rsidRPr="00544233">
        <w:rPr>
          <w:rFonts w:asciiTheme="minorHAnsi" w:hAnsiTheme="minorHAnsi" w:cstheme="minorHAnsi"/>
          <w:sz w:val="22"/>
          <w:szCs w:val="22"/>
        </w:rPr>
        <w:t>B</w:t>
      </w:r>
      <w:r w:rsidR="005E5C86" w:rsidRPr="00544233">
        <w:rPr>
          <w:rFonts w:asciiTheme="minorHAnsi" w:hAnsiTheme="minorHAnsi" w:cstheme="minorHAnsi"/>
          <w:sz w:val="22"/>
          <w:szCs w:val="22"/>
        </w:rPr>
        <w:t>SK</w:t>
      </w:r>
      <w:r w:rsidRPr="00544233">
        <w:rPr>
          <w:rFonts w:asciiTheme="minorHAnsi" w:hAnsiTheme="minorHAnsi" w:cstheme="minorHAnsi"/>
          <w:sz w:val="22"/>
          <w:szCs w:val="22"/>
        </w:rPr>
        <w:t xml:space="preserve"> v súlade s</w:t>
      </w:r>
      <w:r w:rsidR="00D52EC4" w:rsidRPr="00544233">
        <w:rPr>
          <w:rFonts w:asciiTheme="minorHAnsi" w:hAnsiTheme="minorHAnsi" w:cstheme="minorHAnsi"/>
          <w:sz w:val="22"/>
          <w:szCs w:val="22"/>
        </w:rPr>
        <w:t xml:space="preserve"> ustanovením </w:t>
      </w:r>
      <w:r w:rsidRPr="00544233">
        <w:rPr>
          <w:rFonts w:asciiTheme="minorHAnsi" w:hAnsiTheme="minorHAnsi" w:cstheme="minorHAnsi"/>
          <w:sz w:val="22"/>
          <w:szCs w:val="22"/>
        </w:rPr>
        <w:t>§ 16 ods. 3 zákona o rozpočtový</w:t>
      </w:r>
      <w:r w:rsidR="00576061" w:rsidRPr="00544233">
        <w:rPr>
          <w:rFonts w:asciiTheme="minorHAnsi" w:hAnsiTheme="minorHAnsi" w:cstheme="minorHAnsi"/>
          <w:sz w:val="22"/>
          <w:szCs w:val="22"/>
        </w:rPr>
        <w:t>ch pravidlách územnej samospráv</w:t>
      </w:r>
      <w:r w:rsidR="00F123A5" w:rsidRPr="00544233">
        <w:rPr>
          <w:rFonts w:asciiTheme="minorHAnsi" w:hAnsiTheme="minorHAnsi" w:cstheme="minorHAnsi"/>
          <w:sz w:val="22"/>
          <w:szCs w:val="22"/>
        </w:rPr>
        <w:t>y</w:t>
      </w:r>
      <w:r w:rsidRPr="00544233">
        <w:rPr>
          <w:rFonts w:asciiTheme="minorHAnsi" w:hAnsiTheme="minorHAnsi" w:cstheme="minorHAnsi"/>
          <w:sz w:val="22"/>
          <w:szCs w:val="22"/>
        </w:rPr>
        <w:t xml:space="preserve"> a  §</w:t>
      </w:r>
      <w:r w:rsidR="005E5C86" w:rsidRPr="00544233">
        <w:rPr>
          <w:rFonts w:asciiTheme="minorHAnsi" w:hAnsiTheme="minorHAnsi" w:cstheme="minorHAnsi"/>
          <w:sz w:val="22"/>
          <w:szCs w:val="22"/>
        </w:rPr>
        <w:t> </w:t>
      </w:r>
      <w:r w:rsidRPr="00544233">
        <w:rPr>
          <w:rFonts w:asciiTheme="minorHAnsi" w:hAnsiTheme="minorHAnsi" w:cstheme="minorHAnsi"/>
          <w:sz w:val="22"/>
          <w:szCs w:val="22"/>
        </w:rPr>
        <w:t>9 ods. 4 zákona o samospráve vyšších územných celkov, dal účtovnú závierku a svoje hospodárenie za</w:t>
      </w:r>
      <w:r w:rsidR="00E6076C" w:rsidRPr="00544233">
        <w:rPr>
          <w:rFonts w:asciiTheme="minorHAnsi" w:hAnsiTheme="minorHAnsi" w:cstheme="minorHAnsi"/>
          <w:sz w:val="22"/>
          <w:szCs w:val="22"/>
        </w:rPr>
        <w:t> </w:t>
      </w:r>
      <w:r w:rsidRPr="00544233">
        <w:rPr>
          <w:rFonts w:asciiTheme="minorHAnsi" w:hAnsiTheme="minorHAnsi" w:cstheme="minorHAnsi"/>
          <w:sz w:val="22"/>
          <w:szCs w:val="22"/>
        </w:rPr>
        <w:t xml:space="preserve">rozpočtový rok </w:t>
      </w:r>
      <w:r w:rsidR="007D1A1A" w:rsidRPr="00544233">
        <w:rPr>
          <w:rFonts w:asciiTheme="minorHAnsi" w:hAnsiTheme="minorHAnsi" w:cstheme="minorHAnsi"/>
          <w:sz w:val="22"/>
          <w:szCs w:val="22"/>
        </w:rPr>
        <w:t>20</w:t>
      </w:r>
      <w:r w:rsidR="00544233" w:rsidRPr="00544233">
        <w:rPr>
          <w:rFonts w:asciiTheme="minorHAnsi" w:hAnsiTheme="minorHAnsi" w:cstheme="minorHAnsi"/>
          <w:sz w:val="22"/>
          <w:szCs w:val="22"/>
        </w:rPr>
        <w:t>20</w:t>
      </w:r>
      <w:r w:rsidR="00E92CD7" w:rsidRPr="00544233">
        <w:rPr>
          <w:rFonts w:asciiTheme="minorHAnsi" w:hAnsiTheme="minorHAnsi" w:cstheme="minorHAnsi"/>
          <w:sz w:val="22"/>
          <w:szCs w:val="22"/>
        </w:rPr>
        <w:t xml:space="preserve"> overiť audítorom. </w:t>
      </w:r>
      <w:r w:rsidR="003F0698" w:rsidRPr="00544233">
        <w:rPr>
          <w:rFonts w:asciiTheme="minorHAnsi" w:hAnsiTheme="minorHAnsi" w:cstheme="minorHAnsi"/>
          <w:sz w:val="22"/>
          <w:szCs w:val="22"/>
        </w:rPr>
        <w:t>Správa nezávislého audítora z auditu individuálnej účtovnej závierky k 31.12.20</w:t>
      </w:r>
      <w:r w:rsidR="00544233" w:rsidRPr="00544233">
        <w:rPr>
          <w:rFonts w:asciiTheme="minorHAnsi" w:hAnsiTheme="minorHAnsi" w:cstheme="minorHAnsi"/>
          <w:sz w:val="22"/>
          <w:szCs w:val="22"/>
        </w:rPr>
        <w:t>20</w:t>
      </w:r>
      <w:r w:rsidR="003F0698" w:rsidRPr="00544233">
        <w:rPr>
          <w:rFonts w:asciiTheme="minorHAnsi" w:hAnsiTheme="minorHAnsi" w:cstheme="minorHAnsi"/>
          <w:sz w:val="22"/>
          <w:szCs w:val="22"/>
        </w:rPr>
        <w:t xml:space="preserve"> bola vypracovaná dňa 2</w:t>
      </w:r>
      <w:r w:rsidR="00544233" w:rsidRPr="00544233">
        <w:rPr>
          <w:rFonts w:asciiTheme="minorHAnsi" w:hAnsiTheme="minorHAnsi" w:cstheme="minorHAnsi"/>
          <w:sz w:val="22"/>
          <w:szCs w:val="22"/>
        </w:rPr>
        <w:t>8</w:t>
      </w:r>
      <w:r w:rsidR="003F0698" w:rsidRPr="00544233">
        <w:rPr>
          <w:rFonts w:asciiTheme="minorHAnsi" w:hAnsiTheme="minorHAnsi" w:cstheme="minorHAnsi"/>
          <w:sz w:val="22"/>
          <w:szCs w:val="22"/>
        </w:rPr>
        <w:t>. 04.202</w:t>
      </w:r>
      <w:r w:rsidR="00544233" w:rsidRPr="00544233">
        <w:rPr>
          <w:rFonts w:asciiTheme="minorHAnsi" w:hAnsiTheme="minorHAnsi" w:cstheme="minorHAnsi"/>
          <w:sz w:val="22"/>
          <w:szCs w:val="22"/>
        </w:rPr>
        <w:t>1</w:t>
      </w:r>
      <w:r w:rsidR="003F0698" w:rsidRPr="00544233">
        <w:rPr>
          <w:rFonts w:asciiTheme="minorHAnsi" w:hAnsiTheme="minorHAnsi" w:cstheme="minorHAnsi"/>
          <w:sz w:val="22"/>
          <w:szCs w:val="22"/>
        </w:rPr>
        <w:t xml:space="preserve"> a bola zverejnená v registr</w:t>
      </w:r>
      <w:r w:rsidR="00D70045" w:rsidRPr="00544233">
        <w:rPr>
          <w:rFonts w:asciiTheme="minorHAnsi" w:hAnsiTheme="minorHAnsi" w:cstheme="minorHAnsi"/>
          <w:sz w:val="22"/>
          <w:szCs w:val="22"/>
        </w:rPr>
        <w:t>i účtovných závierok.</w:t>
      </w:r>
    </w:p>
    <w:p w:rsidR="003F0698" w:rsidRPr="00D121D9" w:rsidRDefault="003F0698" w:rsidP="009810D7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3C1BE4" w:rsidRPr="00544233" w:rsidRDefault="003C1BE4" w:rsidP="003C1BE4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44233">
        <w:rPr>
          <w:rFonts w:asciiTheme="minorHAnsi" w:hAnsiTheme="minorHAnsi" w:cstheme="minorHAnsi"/>
          <w:sz w:val="22"/>
          <w:szCs w:val="22"/>
        </w:rPr>
        <w:t xml:space="preserve">Záverečný účet </w:t>
      </w:r>
      <w:r w:rsidR="00E6076C" w:rsidRPr="00544233">
        <w:rPr>
          <w:rFonts w:asciiTheme="minorHAnsi" w:hAnsiTheme="minorHAnsi" w:cstheme="minorHAnsi"/>
          <w:sz w:val="22"/>
          <w:szCs w:val="22"/>
        </w:rPr>
        <w:t>za rok 20</w:t>
      </w:r>
      <w:r w:rsidR="00544233" w:rsidRPr="00544233">
        <w:rPr>
          <w:rFonts w:asciiTheme="minorHAnsi" w:hAnsiTheme="minorHAnsi" w:cstheme="minorHAnsi"/>
          <w:sz w:val="22"/>
          <w:szCs w:val="22"/>
        </w:rPr>
        <w:t>20</w:t>
      </w:r>
      <w:r w:rsidR="00E6076C" w:rsidRPr="00544233">
        <w:rPr>
          <w:rFonts w:asciiTheme="minorHAnsi" w:hAnsiTheme="minorHAnsi" w:cstheme="minorHAnsi"/>
          <w:sz w:val="22"/>
          <w:szCs w:val="22"/>
        </w:rPr>
        <w:t xml:space="preserve"> </w:t>
      </w:r>
      <w:r w:rsidRPr="00544233">
        <w:rPr>
          <w:rFonts w:asciiTheme="minorHAnsi" w:hAnsiTheme="minorHAnsi" w:cstheme="minorHAnsi"/>
          <w:sz w:val="22"/>
          <w:szCs w:val="22"/>
        </w:rPr>
        <w:t>bol v súlade s</w:t>
      </w:r>
      <w:r w:rsidR="00B407CB" w:rsidRPr="00544233">
        <w:rPr>
          <w:rFonts w:asciiTheme="minorHAnsi" w:hAnsiTheme="minorHAnsi" w:cstheme="minorHAnsi"/>
          <w:sz w:val="22"/>
          <w:szCs w:val="22"/>
        </w:rPr>
        <w:t xml:space="preserve"> ustanovením </w:t>
      </w:r>
      <w:r w:rsidRPr="00544233">
        <w:rPr>
          <w:rFonts w:asciiTheme="minorHAnsi" w:hAnsiTheme="minorHAnsi" w:cstheme="minorHAnsi"/>
          <w:sz w:val="22"/>
          <w:szCs w:val="22"/>
        </w:rPr>
        <w:t>§ 9 ods. 3 zákona o samosprávnych krajoch zverejnený</w:t>
      </w:r>
      <w:r w:rsidR="001F1C2D" w:rsidRPr="00544233">
        <w:rPr>
          <w:rFonts w:asciiTheme="minorHAnsi" w:hAnsiTheme="minorHAnsi" w:cstheme="minorHAnsi"/>
          <w:sz w:val="22"/>
          <w:szCs w:val="22"/>
        </w:rPr>
        <w:t xml:space="preserve"> dňa 1</w:t>
      </w:r>
      <w:r w:rsidR="00544233">
        <w:rPr>
          <w:rFonts w:asciiTheme="minorHAnsi" w:hAnsiTheme="minorHAnsi" w:cstheme="minorHAnsi"/>
          <w:sz w:val="22"/>
          <w:szCs w:val="22"/>
        </w:rPr>
        <w:t>8</w:t>
      </w:r>
      <w:r w:rsidR="001F1C2D" w:rsidRPr="00544233">
        <w:rPr>
          <w:rFonts w:asciiTheme="minorHAnsi" w:hAnsiTheme="minorHAnsi" w:cstheme="minorHAnsi"/>
          <w:sz w:val="22"/>
          <w:szCs w:val="22"/>
        </w:rPr>
        <w:t>.</w:t>
      </w:r>
      <w:r w:rsidR="00544233">
        <w:rPr>
          <w:rFonts w:asciiTheme="minorHAnsi" w:hAnsiTheme="minorHAnsi" w:cstheme="minorHAnsi"/>
          <w:sz w:val="22"/>
          <w:szCs w:val="22"/>
        </w:rPr>
        <w:t xml:space="preserve"> </w:t>
      </w:r>
      <w:r w:rsidR="001F1C2D" w:rsidRPr="00544233">
        <w:rPr>
          <w:rFonts w:asciiTheme="minorHAnsi" w:hAnsiTheme="minorHAnsi" w:cstheme="minorHAnsi"/>
          <w:sz w:val="22"/>
          <w:szCs w:val="22"/>
        </w:rPr>
        <w:t>05.</w:t>
      </w:r>
      <w:r w:rsidR="00544233">
        <w:rPr>
          <w:rFonts w:asciiTheme="minorHAnsi" w:hAnsiTheme="minorHAnsi" w:cstheme="minorHAnsi"/>
          <w:sz w:val="22"/>
          <w:szCs w:val="22"/>
        </w:rPr>
        <w:t xml:space="preserve"> </w:t>
      </w:r>
      <w:r w:rsidR="001F1C2D" w:rsidRPr="00544233">
        <w:rPr>
          <w:rFonts w:asciiTheme="minorHAnsi" w:hAnsiTheme="minorHAnsi" w:cstheme="minorHAnsi"/>
          <w:sz w:val="22"/>
          <w:szCs w:val="22"/>
        </w:rPr>
        <w:t>20</w:t>
      </w:r>
      <w:r w:rsidR="00544233">
        <w:rPr>
          <w:rFonts w:asciiTheme="minorHAnsi" w:hAnsiTheme="minorHAnsi" w:cstheme="minorHAnsi"/>
          <w:sz w:val="22"/>
          <w:szCs w:val="22"/>
        </w:rPr>
        <w:t>20</w:t>
      </w:r>
      <w:r w:rsidR="001F1C2D" w:rsidRPr="00544233">
        <w:rPr>
          <w:rFonts w:asciiTheme="minorHAnsi" w:hAnsiTheme="minorHAnsi" w:cstheme="minorHAnsi"/>
          <w:sz w:val="22"/>
          <w:szCs w:val="22"/>
        </w:rPr>
        <w:t xml:space="preserve"> na úradne</w:t>
      </w:r>
      <w:r w:rsidR="00E92CD7" w:rsidRPr="00544233">
        <w:rPr>
          <w:rFonts w:asciiTheme="minorHAnsi" w:hAnsiTheme="minorHAnsi" w:cstheme="minorHAnsi"/>
          <w:sz w:val="22"/>
          <w:szCs w:val="22"/>
        </w:rPr>
        <w:t>j</w:t>
      </w:r>
      <w:r w:rsidR="001F1C2D" w:rsidRPr="00544233">
        <w:rPr>
          <w:rFonts w:asciiTheme="minorHAnsi" w:hAnsiTheme="minorHAnsi" w:cstheme="minorHAnsi"/>
          <w:sz w:val="22"/>
          <w:szCs w:val="22"/>
        </w:rPr>
        <w:t xml:space="preserve"> tabuli BSK</w:t>
      </w:r>
      <w:r w:rsidR="00E92CD7" w:rsidRPr="00544233">
        <w:rPr>
          <w:rFonts w:asciiTheme="minorHAnsi" w:hAnsiTheme="minorHAnsi" w:cstheme="minorHAnsi"/>
          <w:sz w:val="22"/>
          <w:szCs w:val="22"/>
        </w:rPr>
        <w:t xml:space="preserve"> a na webovej stránke BSK</w:t>
      </w:r>
      <w:r w:rsidRPr="00544233">
        <w:rPr>
          <w:rFonts w:asciiTheme="minorHAnsi" w:hAnsiTheme="minorHAnsi" w:cstheme="minorHAnsi"/>
          <w:sz w:val="22"/>
          <w:szCs w:val="22"/>
        </w:rPr>
        <w:t xml:space="preserve">. Povinnosť zverejnenia záverečného účtu najmenej 15 dní pred jeho schválením bola dodržaná.  </w:t>
      </w:r>
    </w:p>
    <w:p w:rsidR="003C1BE4" w:rsidRPr="00D121D9" w:rsidRDefault="003C1BE4" w:rsidP="009810D7">
      <w:pPr>
        <w:jc w:val="both"/>
        <w:rPr>
          <w:rFonts w:asciiTheme="minorHAnsi" w:hAnsiTheme="minorHAnsi" w:cstheme="minorHAnsi"/>
          <w:b/>
          <w:color w:val="FF0000"/>
          <w:spacing w:val="20"/>
          <w:sz w:val="22"/>
          <w:szCs w:val="22"/>
        </w:rPr>
      </w:pPr>
    </w:p>
    <w:p w:rsidR="009810D7" w:rsidRPr="00593D11" w:rsidRDefault="009810D7" w:rsidP="009810D7">
      <w:pPr>
        <w:jc w:val="both"/>
        <w:rPr>
          <w:rFonts w:asciiTheme="minorHAnsi" w:hAnsiTheme="minorHAnsi" w:cstheme="minorHAnsi"/>
          <w:b/>
          <w:spacing w:val="20"/>
          <w:sz w:val="22"/>
          <w:szCs w:val="22"/>
        </w:rPr>
      </w:pPr>
      <w:r w:rsidRPr="00593D11">
        <w:rPr>
          <w:rFonts w:asciiTheme="minorHAnsi" w:hAnsiTheme="minorHAnsi" w:cstheme="minorHAnsi"/>
          <w:b/>
          <w:spacing w:val="20"/>
          <w:sz w:val="22"/>
          <w:szCs w:val="22"/>
        </w:rPr>
        <w:t>4</w:t>
      </w:r>
      <w:r w:rsidR="00EB490B" w:rsidRPr="00593D11">
        <w:rPr>
          <w:rFonts w:asciiTheme="minorHAnsi" w:hAnsiTheme="minorHAnsi" w:cstheme="minorHAnsi"/>
          <w:b/>
          <w:spacing w:val="20"/>
          <w:sz w:val="22"/>
          <w:szCs w:val="22"/>
        </w:rPr>
        <w:t>.</w:t>
      </w:r>
      <w:r w:rsidRPr="00593D11">
        <w:rPr>
          <w:rFonts w:asciiTheme="minorHAnsi" w:hAnsiTheme="minorHAnsi" w:cstheme="minorHAnsi"/>
          <w:b/>
          <w:spacing w:val="20"/>
          <w:sz w:val="22"/>
          <w:szCs w:val="22"/>
        </w:rPr>
        <w:t xml:space="preserve"> </w:t>
      </w:r>
      <w:r w:rsidR="00E91D33" w:rsidRPr="00593D11">
        <w:rPr>
          <w:rFonts w:asciiTheme="minorHAnsi" w:hAnsiTheme="minorHAnsi" w:cstheme="minorHAnsi"/>
          <w:b/>
          <w:spacing w:val="20"/>
          <w:sz w:val="22"/>
          <w:szCs w:val="22"/>
        </w:rPr>
        <w:t xml:space="preserve">    </w:t>
      </w:r>
      <w:r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 xml:space="preserve">Súlad návrhu </w:t>
      </w:r>
      <w:r w:rsidR="00E6076C"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Z</w:t>
      </w:r>
      <w:r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áverečného účtu</w:t>
      </w:r>
      <w:r w:rsidR="00E6076C"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 xml:space="preserve"> za rok 20</w:t>
      </w:r>
      <w:r w:rsidR="00593D11"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20</w:t>
      </w:r>
      <w:r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 xml:space="preserve"> so zákonom o</w:t>
      </w:r>
      <w:r w:rsidR="003E401A"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 </w:t>
      </w:r>
      <w:r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rozpočtových</w:t>
      </w:r>
      <w:r w:rsidR="003E401A"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 xml:space="preserve"> pr</w:t>
      </w:r>
      <w:r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avidlách</w:t>
      </w:r>
    </w:p>
    <w:p w:rsidR="009810D7" w:rsidRPr="00D121D9" w:rsidRDefault="009810D7" w:rsidP="009810D7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CC3863" w:rsidRPr="001969FB" w:rsidRDefault="009810D7" w:rsidP="003F6FB1">
      <w:pPr>
        <w:pStyle w:val="titulok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1969FB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Predkladaný návrh </w:t>
      </w:r>
      <w:r w:rsidR="00E6076C" w:rsidRPr="001969FB">
        <w:rPr>
          <w:rFonts w:asciiTheme="minorHAnsi" w:hAnsiTheme="minorHAnsi" w:cstheme="minorHAnsi"/>
          <w:b w:val="0"/>
          <w:color w:val="auto"/>
          <w:sz w:val="22"/>
          <w:szCs w:val="22"/>
        </w:rPr>
        <w:t>Z</w:t>
      </w:r>
      <w:r w:rsidRPr="001969FB">
        <w:rPr>
          <w:rFonts w:asciiTheme="minorHAnsi" w:hAnsiTheme="minorHAnsi" w:cstheme="minorHAnsi"/>
          <w:b w:val="0"/>
          <w:color w:val="auto"/>
          <w:sz w:val="22"/>
          <w:szCs w:val="22"/>
        </w:rPr>
        <w:t>áverečného účtu</w:t>
      </w:r>
      <w:r w:rsidR="00E6076C" w:rsidRPr="001969FB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za rok 20</w:t>
      </w:r>
      <w:r w:rsidR="001969FB" w:rsidRPr="001969FB">
        <w:rPr>
          <w:rFonts w:asciiTheme="minorHAnsi" w:hAnsiTheme="minorHAnsi" w:cstheme="minorHAnsi"/>
          <w:b w:val="0"/>
          <w:color w:val="auto"/>
          <w:sz w:val="22"/>
          <w:szCs w:val="22"/>
        </w:rPr>
        <w:t>20</w:t>
      </w:r>
      <w:r w:rsidRPr="001969FB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</w:t>
      </w:r>
      <w:r w:rsidR="003F6FB1" w:rsidRPr="001969FB">
        <w:rPr>
          <w:rFonts w:asciiTheme="minorHAnsi" w:hAnsiTheme="minorHAnsi" w:cstheme="minorHAnsi"/>
          <w:b w:val="0"/>
          <w:color w:val="auto"/>
          <w:sz w:val="22"/>
          <w:szCs w:val="22"/>
        </w:rPr>
        <w:t>b</w:t>
      </w:r>
      <w:r w:rsidRPr="001969FB">
        <w:rPr>
          <w:rFonts w:asciiTheme="minorHAnsi" w:hAnsiTheme="minorHAnsi" w:cstheme="minorHAnsi"/>
          <w:b w:val="0"/>
          <w:color w:val="auto"/>
          <w:sz w:val="22"/>
          <w:szCs w:val="22"/>
        </w:rPr>
        <w:t>ol zostavený po predchádzajúcom usporiadaní hospodárenia</w:t>
      </w:r>
      <w:r w:rsidR="00B407CB" w:rsidRPr="001969FB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BSK</w:t>
      </w:r>
      <w:r w:rsidRPr="001969FB">
        <w:rPr>
          <w:rFonts w:asciiTheme="minorHAnsi" w:hAnsiTheme="minorHAnsi" w:cstheme="minorHAnsi"/>
          <w:b w:val="0"/>
          <w:color w:val="auto"/>
          <w:sz w:val="22"/>
          <w:szCs w:val="22"/>
        </w:rPr>
        <w:t xml:space="preserve"> vrátane</w:t>
      </w:r>
      <w:r w:rsidRPr="001969F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407CB" w:rsidRPr="001969FB">
        <w:rPr>
          <w:rFonts w:asciiTheme="minorHAnsi" w:hAnsiTheme="minorHAnsi" w:cstheme="minorHAnsi"/>
          <w:b w:val="0"/>
          <w:color w:val="auto"/>
          <w:sz w:val="22"/>
          <w:szCs w:val="22"/>
          <w:shd w:val="clear" w:color="auto" w:fill="FFFFFF"/>
        </w:rPr>
        <w:t>finančných vzťahov k zriadeným alebo založeným právnickým osobám a fyzickým osobám – podnikateľom a právnickým osobám, ktorým boli poskytnuté prostriedky z rozpočtu BSK a</w:t>
      </w:r>
      <w:r w:rsidR="009E30C4">
        <w:rPr>
          <w:rFonts w:asciiTheme="minorHAnsi" w:hAnsiTheme="minorHAnsi" w:cstheme="minorHAnsi"/>
          <w:b w:val="0"/>
          <w:color w:val="auto"/>
          <w:sz w:val="22"/>
          <w:szCs w:val="22"/>
          <w:shd w:val="clear" w:color="auto" w:fill="FFFFFF"/>
        </w:rPr>
        <w:t> </w:t>
      </w:r>
      <w:r w:rsidR="00B407CB" w:rsidRPr="001969FB">
        <w:rPr>
          <w:rFonts w:asciiTheme="minorHAnsi" w:hAnsiTheme="minorHAnsi" w:cstheme="minorHAnsi"/>
          <w:b w:val="0"/>
          <w:color w:val="auto"/>
          <w:sz w:val="22"/>
          <w:szCs w:val="22"/>
          <w:shd w:val="clear" w:color="auto" w:fill="FFFFFF"/>
        </w:rPr>
        <w:t>po</w:t>
      </w:r>
      <w:r w:rsidR="009E30C4">
        <w:rPr>
          <w:rFonts w:asciiTheme="minorHAnsi" w:hAnsiTheme="minorHAnsi" w:cstheme="minorHAnsi"/>
          <w:b w:val="0"/>
          <w:color w:val="auto"/>
          <w:sz w:val="22"/>
          <w:szCs w:val="22"/>
          <w:shd w:val="clear" w:color="auto" w:fill="FFFFFF"/>
        </w:rPr>
        <w:t> </w:t>
      </w:r>
      <w:r w:rsidR="00B407CB" w:rsidRPr="001969FB">
        <w:rPr>
          <w:rFonts w:asciiTheme="minorHAnsi" w:hAnsiTheme="minorHAnsi" w:cstheme="minorHAnsi"/>
          <w:b w:val="0"/>
          <w:color w:val="auto"/>
          <w:sz w:val="22"/>
          <w:szCs w:val="22"/>
          <w:shd w:val="clear" w:color="auto" w:fill="FFFFFF"/>
        </w:rPr>
        <w:t xml:space="preserve">usporiadaní finančných vzťahov k iným rozpočtom. </w:t>
      </w:r>
      <w:r w:rsidR="00633C21" w:rsidRPr="001969FB">
        <w:rPr>
          <w:rFonts w:asciiTheme="minorHAnsi" w:hAnsiTheme="minorHAnsi" w:cstheme="minorHAnsi"/>
          <w:b w:val="0"/>
          <w:color w:val="auto"/>
          <w:sz w:val="22"/>
          <w:szCs w:val="22"/>
          <w:shd w:val="clear" w:color="auto" w:fill="FFFFFF"/>
        </w:rPr>
        <w:t>V zmysle ustanovenia § 16 ods. 5 zákona o rozpočtovýc</w:t>
      </w:r>
      <w:r w:rsidR="005D233F" w:rsidRPr="001969FB">
        <w:rPr>
          <w:rFonts w:asciiTheme="minorHAnsi" w:hAnsiTheme="minorHAnsi" w:cstheme="minorHAnsi"/>
          <w:b w:val="0"/>
          <w:color w:val="auto"/>
          <w:sz w:val="22"/>
          <w:szCs w:val="22"/>
          <w:shd w:val="clear" w:color="auto" w:fill="FFFFFF"/>
        </w:rPr>
        <w:t xml:space="preserve">h pravidlách územnej samosprávy </w:t>
      </w:r>
      <w:r w:rsidR="005D233F" w:rsidRPr="001969FB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Záverečný účet vyššieho územného celku obsahuje najmä:</w:t>
      </w:r>
    </w:p>
    <w:p w:rsidR="005D233F" w:rsidRPr="001969FB" w:rsidRDefault="005D233F" w:rsidP="003F6FB1">
      <w:pPr>
        <w:pStyle w:val="titulok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</w:pPr>
    </w:p>
    <w:p w:rsidR="009810D7" w:rsidRPr="001969FB" w:rsidRDefault="005D233F" w:rsidP="0041124B">
      <w:pPr>
        <w:pStyle w:val="titulok"/>
        <w:numPr>
          <w:ilvl w:val="0"/>
          <w:numId w:val="47"/>
        </w:numPr>
        <w:spacing w:before="0" w:beforeAutospacing="0" w:after="0" w:afterAutospacing="0"/>
        <w:ind w:left="567" w:hanging="283"/>
        <w:jc w:val="both"/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1969FB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údaje o plnení rozpočtu v členení podľa § 10 ods. 3 v súlade s rozpočtovou klasifikáciou,</w:t>
      </w:r>
    </w:p>
    <w:p w:rsidR="005D233F" w:rsidRPr="001969FB" w:rsidRDefault="005D233F" w:rsidP="0041124B">
      <w:pPr>
        <w:pStyle w:val="titulok"/>
        <w:numPr>
          <w:ilvl w:val="0"/>
          <w:numId w:val="47"/>
        </w:numPr>
        <w:spacing w:before="0" w:beforeAutospacing="0" w:after="0" w:afterAutospacing="0"/>
        <w:ind w:left="567" w:hanging="283"/>
        <w:jc w:val="both"/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</w:pPr>
      <w:r w:rsidRPr="001969FB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bilanciu aktív a</w:t>
      </w:r>
      <w:r w:rsidR="0041124B" w:rsidRPr="001969FB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 </w:t>
      </w:r>
      <w:r w:rsidRPr="001969FB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pasív</w:t>
      </w:r>
      <w:r w:rsidR="0041124B" w:rsidRPr="001969FB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,</w:t>
      </w:r>
    </w:p>
    <w:p w:rsidR="005D233F" w:rsidRPr="001969FB" w:rsidRDefault="005D233F" w:rsidP="0041124B">
      <w:pPr>
        <w:pStyle w:val="titulok"/>
        <w:numPr>
          <w:ilvl w:val="0"/>
          <w:numId w:val="47"/>
        </w:numPr>
        <w:spacing w:before="0" w:beforeAutospacing="0" w:after="0" w:afterAutospacing="0"/>
        <w:ind w:left="567" w:hanging="283"/>
        <w:jc w:val="both"/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</w:pPr>
      <w:r w:rsidRPr="001969FB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prehľad o stave a vývoji dlhu</w:t>
      </w:r>
      <w:r w:rsidR="005E5C86" w:rsidRPr="001969FB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,</w:t>
      </w:r>
    </w:p>
    <w:p w:rsidR="005D233F" w:rsidRPr="001969FB" w:rsidRDefault="005D233F" w:rsidP="0041124B">
      <w:pPr>
        <w:pStyle w:val="titulok"/>
        <w:numPr>
          <w:ilvl w:val="0"/>
          <w:numId w:val="47"/>
        </w:numPr>
        <w:spacing w:before="0" w:beforeAutospacing="0" w:after="0" w:afterAutospacing="0"/>
        <w:ind w:left="567" w:hanging="283"/>
        <w:jc w:val="both"/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</w:pPr>
      <w:r w:rsidRPr="001969FB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údaje o hospodárení príspevkových organizácií v ich pôsobnosti</w:t>
      </w:r>
      <w:r w:rsidR="005E5C86" w:rsidRPr="001969FB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,</w:t>
      </w:r>
    </w:p>
    <w:p w:rsidR="005D233F" w:rsidRPr="001969FB" w:rsidRDefault="005D233F" w:rsidP="0041124B">
      <w:pPr>
        <w:pStyle w:val="titulok"/>
        <w:numPr>
          <w:ilvl w:val="0"/>
          <w:numId w:val="47"/>
        </w:numPr>
        <w:spacing w:before="0" w:beforeAutospacing="0" w:after="0" w:afterAutospacing="0"/>
        <w:ind w:left="567" w:hanging="283"/>
        <w:jc w:val="both"/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</w:pPr>
      <w:r w:rsidRPr="001969FB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prehľad o poskytnutých dotáciách podľa § 7 ods. 4 a § 8 ods. 5 v členení podľa jednotlivých príjemcov, ak nie sú obcou a vyšším územným celkom zverejnené iným spôsobom</w:t>
      </w:r>
      <w:r w:rsidR="005E5C86" w:rsidRPr="001969FB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,</w:t>
      </w:r>
    </w:p>
    <w:p w:rsidR="005D233F" w:rsidRPr="001969FB" w:rsidRDefault="005D233F" w:rsidP="0041124B">
      <w:pPr>
        <w:pStyle w:val="titulok"/>
        <w:numPr>
          <w:ilvl w:val="0"/>
          <w:numId w:val="47"/>
        </w:numPr>
        <w:spacing w:before="0" w:beforeAutospacing="0" w:after="0" w:afterAutospacing="0"/>
        <w:ind w:left="567" w:hanging="283"/>
        <w:jc w:val="both"/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</w:pPr>
      <w:r w:rsidRPr="001969FB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údaje o nákladoch a výnosoch podnikateľskej činnosti</w:t>
      </w:r>
      <w:r w:rsidR="005E5C86" w:rsidRPr="001969FB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,</w:t>
      </w:r>
    </w:p>
    <w:p w:rsidR="005D233F" w:rsidRPr="001969FB" w:rsidRDefault="005D233F" w:rsidP="0041124B">
      <w:pPr>
        <w:pStyle w:val="titulok"/>
        <w:numPr>
          <w:ilvl w:val="0"/>
          <w:numId w:val="47"/>
        </w:numPr>
        <w:spacing w:before="0" w:beforeAutospacing="0" w:after="0" w:afterAutospacing="0"/>
        <w:ind w:left="567" w:hanging="283"/>
        <w:jc w:val="both"/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</w:pPr>
      <w:r w:rsidRPr="001969FB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hodnotenie plnenia programov obce a programov vyššieho územného celku.</w:t>
      </w:r>
    </w:p>
    <w:p w:rsidR="005D233F" w:rsidRPr="001969FB" w:rsidRDefault="005D233F" w:rsidP="009810D7">
      <w:pPr>
        <w:pStyle w:val="titulok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b w:val="0"/>
          <w:color w:val="auto"/>
          <w:sz w:val="22"/>
          <w:szCs w:val="22"/>
          <w:highlight w:val="yellow"/>
          <w:lang w:eastAsia="cs-CZ"/>
        </w:rPr>
      </w:pPr>
    </w:p>
    <w:p w:rsidR="009810D7" w:rsidRPr="001969FB" w:rsidRDefault="005D233F" w:rsidP="009810D7">
      <w:pPr>
        <w:pStyle w:val="titulok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</w:pPr>
      <w:r w:rsidRPr="001969FB"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  <w:lastRenderedPageBreak/>
        <w:t xml:space="preserve">Predložený návrh </w:t>
      </w:r>
      <w:r w:rsidR="009810D7" w:rsidRPr="001969FB"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  <w:t>Záverečn</w:t>
      </w:r>
      <w:r w:rsidRPr="001969FB"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  <w:t>ého</w:t>
      </w:r>
      <w:r w:rsidR="009810D7" w:rsidRPr="001969FB"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  <w:t xml:space="preserve"> úč</w:t>
      </w:r>
      <w:r w:rsidRPr="001969FB"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  <w:t>tu</w:t>
      </w:r>
      <w:r w:rsidR="00E61BF9"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  <w:t xml:space="preserve"> BSK za rok 2020</w:t>
      </w:r>
      <w:r w:rsidR="009810D7" w:rsidRPr="001969FB"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  <w:t xml:space="preserve"> bol zostavený v zmysle </w:t>
      </w:r>
      <w:r w:rsidRPr="001969FB"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  <w:t xml:space="preserve">ustanovenia </w:t>
      </w:r>
      <w:r w:rsidR="009810D7" w:rsidRPr="001969FB"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  <w:t xml:space="preserve">§ 16 ods. 5 </w:t>
      </w:r>
      <w:r w:rsidR="00961625" w:rsidRPr="001969FB"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  <w:t>v spojení s</w:t>
      </w:r>
      <w:r w:rsidRPr="001969FB"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  <w:t xml:space="preserve"> ustanovením </w:t>
      </w:r>
      <w:r w:rsidR="009810D7" w:rsidRPr="001969FB"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  <w:t>§</w:t>
      </w:r>
      <w:r w:rsidR="00DE317B" w:rsidRPr="001969FB"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  <w:t xml:space="preserve"> </w:t>
      </w:r>
      <w:r w:rsidR="009810D7" w:rsidRPr="001969FB"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  <w:t>10 ods. 3 zákona  o rozpočtových pravidlách územnej samosprávy</w:t>
      </w:r>
      <w:r w:rsidRPr="001969FB"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  <w:t xml:space="preserve"> a obsahuje zákonom </w:t>
      </w:r>
      <w:r w:rsidR="009810D7" w:rsidRPr="001969FB"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  <w:t>uložené náležitosti</w:t>
      </w:r>
      <w:r w:rsidRPr="001969FB"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  <w:t xml:space="preserve">. </w:t>
      </w:r>
      <w:r w:rsidR="009810D7" w:rsidRPr="001969FB">
        <w:rPr>
          <w:rFonts w:asciiTheme="minorHAnsi" w:hAnsiTheme="minorHAnsi" w:cstheme="minorHAnsi"/>
          <w:b w:val="0"/>
          <w:color w:val="auto"/>
          <w:sz w:val="22"/>
          <w:szCs w:val="22"/>
          <w:lang w:eastAsia="cs-CZ"/>
        </w:rPr>
        <w:t xml:space="preserve"> </w:t>
      </w:r>
    </w:p>
    <w:p w:rsidR="006E013D" w:rsidRPr="00D121D9" w:rsidRDefault="009810D7" w:rsidP="009810D7">
      <w:pPr>
        <w:pStyle w:val="Zkladntext"/>
        <w:tabs>
          <w:tab w:val="left" w:pos="7461"/>
        </w:tabs>
        <w:spacing w:after="0"/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  <w:r w:rsidRPr="00D121D9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 xml:space="preserve">              </w:t>
      </w:r>
    </w:p>
    <w:p w:rsidR="009810D7" w:rsidRPr="00593D11" w:rsidRDefault="009810D7" w:rsidP="00A61C3E">
      <w:pPr>
        <w:pStyle w:val="Zkladntext"/>
        <w:tabs>
          <w:tab w:val="left" w:pos="7461"/>
        </w:tabs>
        <w:spacing w:after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93D11">
        <w:rPr>
          <w:rFonts w:asciiTheme="minorHAnsi" w:hAnsiTheme="minorHAnsi" w:cstheme="minorHAnsi"/>
          <w:sz w:val="22"/>
          <w:szCs w:val="22"/>
        </w:rPr>
        <w:t xml:space="preserve"> </w:t>
      </w:r>
      <w:r w:rsidRPr="00593D11">
        <w:rPr>
          <w:rFonts w:asciiTheme="minorHAnsi" w:hAnsiTheme="minorHAnsi" w:cstheme="minorHAnsi"/>
          <w:b/>
          <w:spacing w:val="20"/>
          <w:sz w:val="22"/>
          <w:szCs w:val="22"/>
        </w:rPr>
        <w:t>5</w:t>
      </w:r>
      <w:r w:rsidR="00EB490B" w:rsidRPr="00593D11">
        <w:rPr>
          <w:rFonts w:asciiTheme="minorHAnsi" w:hAnsiTheme="minorHAnsi" w:cstheme="minorHAnsi"/>
          <w:b/>
          <w:spacing w:val="20"/>
          <w:sz w:val="22"/>
          <w:szCs w:val="22"/>
        </w:rPr>
        <w:t>.</w:t>
      </w:r>
      <w:r w:rsidRPr="00593D11">
        <w:rPr>
          <w:rFonts w:asciiTheme="minorHAnsi" w:hAnsiTheme="minorHAnsi" w:cstheme="minorHAnsi"/>
          <w:b/>
          <w:spacing w:val="20"/>
          <w:sz w:val="22"/>
          <w:szCs w:val="22"/>
        </w:rPr>
        <w:t xml:space="preserve">     </w:t>
      </w:r>
      <w:r w:rsidRPr="002D49BE"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  <w:t>ZÁVER</w:t>
      </w:r>
    </w:p>
    <w:p w:rsidR="0068393F" w:rsidRPr="00D121D9" w:rsidRDefault="0068393F" w:rsidP="0068393F">
      <w:pPr>
        <w:pStyle w:val="titulok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b w:val="0"/>
          <w:color w:val="FF0000"/>
          <w:sz w:val="22"/>
          <w:szCs w:val="22"/>
        </w:rPr>
      </w:pPr>
    </w:p>
    <w:p w:rsidR="0068393F" w:rsidRPr="000814E4" w:rsidRDefault="000814E4" w:rsidP="00F44256">
      <w:pPr>
        <w:ind w:firstLine="70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>BSK</w:t>
      </w:r>
      <w:r w:rsidR="009810D7"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17C52"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>bol</w:t>
      </w:r>
      <w:r w:rsidR="009810D7"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povinný viesť operatívnu evidenciu o všetkých </w:t>
      </w:r>
      <w:r w:rsidR="00FC4B3C"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810D7"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>rozpočtových opatreniach vykonaný</w:t>
      </w:r>
      <w:r w:rsidR="00F44256"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>ch v</w:t>
      </w:r>
      <w:r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F44256"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>priebehu rozpočtového roka</w:t>
      </w:r>
      <w:r w:rsidR="00B17C52"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20</w:t>
      </w:r>
      <w:r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="00F44256"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ktorú </w:t>
      </w:r>
      <w:r w:rsidR="0068393F"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viedol odbor financií BSK.  </w:t>
      </w:r>
    </w:p>
    <w:p w:rsidR="009810D7" w:rsidRPr="00D121D9" w:rsidRDefault="009810D7" w:rsidP="009810D7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810D7" w:rsidRPr="00D121D9" w:rsidRDefault="009810D7" w:rsidP="009810D7">
      <w:pPr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Podľa </w:t>
      </w:r>
      <w:r w:rsidR="005C18E0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predloženého </w:t>
      </w:r>
      <w:r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návrhu </w:t>
      </w:r>
      <w:r w:rsidR="005C18E0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Z</w:t>
      </w:r>
      <w:r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áverečného účtu</w:t>
      </w:r>
      <w:r w:rsidR="005C18E0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D6E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BSK </w:t>
      </w:r>
      <w:r w:rsidR="005C18E0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za rok 20</w:t>
      </w:r>
      <w:r w:rsidR="009F25F2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5C18E0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bol</w:t>
      </w:r>
      <w:r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výsledkom hospodárenia BSK</w:t>
      </w:r>
      <w:r w:rsidR="00C27576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</w:t>
      </w:r>
      <w:r w:rsidR="005C18E0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vrátane finančných operácií</w:t>
      </w:r>
      <w:r w:rsidR="00C27576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</w:t>
      </w:r>
      <w:r w:rsidR="005C18E0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o vylúčení nevyčerpaných dotácií ŠR, prostriedkov EÚ a osta</w:t>
      </w:r>
      <w:r w:rsidR="00C27576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t</w:t>
      </w:r>
      <w:r w:rsidR="005C18E0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ných záväzkov)</w:t>
      </w:r>
      <w:r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 roku 20</w:t>
      </w:r>
      <w:r w:rsidR="009F25F2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="00930F10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prebytok v</w:t>
      </w:r>
      <w:r w:rsidR="005C18E0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 výške </w:t>
      </w:r>
      <w:r w:rsidR="009F25F2" w:rsidRPr="009F2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21 834 511,77 EUR</w:t>
      </w:r>
      <w:r w:rsidR="00C27576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:rsidR="009810D7" w:rsidRPr="00D121D9" w:rsidRDefault="009810D7" w:rsidP="009810D7">
      <w:pPr>
        <w:spacing w:line="276" w:lineRule="auto"/>
        <w:ind w:firstLine="497"/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9810D7" w:rsidRPr="000814E4" w:rsidRDefault="009810D7" w:rsidP="009810D7">
      <w:pPr>
        <w:ind w:firstLine="70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Podľa </w:t>
      </w:r>
      <w:r w:rsidR="00353B06"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ustanovenia </w:t>
      </w:r>
      <w:r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§ 15 ods. 1. písm. </w:t>
      </w:r>
      <w:r w:rsidR="00762F17"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="000814E4"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až c) </w:t>
      </w:r>
      <w:r w:rsidRPr="000814E4">
        <w:rPr>
          <w:rFonts w:asciiTheme="minorHAnsi" w:hAnsiTheme="minorHAnsi" w:cstheme="minorHAnsi"/>
          <w:bCs w:val="0"/>
          <w:color w:val="000000" w:themeColor="text1"/>
          <w:sz w:val="22"/>
          <w:szCs w:val="22"/>
        </w:rPr>
        <w:t xml:space="preserve">zákona o rozpočtových pravidlách územnej samosprávy </w:t>
      </w:r>
      <w:r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0814E4"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>BSK</w:t>
      </w:r>
      <w:r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môže vytvárať peňažné fondy, ktorých zdrojom môž</w:t>
      </w:r>
      <w:r w:rsidR="00762F17"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byť </w:t>
      </w:r>
      <w:r w:rsidR="00762F17"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>prebytok rozpočtu za uplynulý rozpočtový rok</w:t>
      </w:r>
      <w:r w:rsidR="000814E4"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0814E4" w:rsidRPr="000814E4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prostriedky získané z rozdielu medzi výnosmi a nákladmi z podnikateľskej činnosti po zdanení a zostatky peňažných fondov z predchádzajúcich rozpočtových rokov a zostatky príjmových finančných operácií s</w:t>
      </w:r>
      <w:r w:rsidR="000814E4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 </w:t>
      </w:r>
      <w:r w:rsidR="000814E4" w:rsidRPr="000814E4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výnimkou zostatkov nepoužitých návratných zdrojov financovania</w:t>
      </w:r>
      <w:r w:rsidRPr="000814E4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9810D7" w:rsidRPr="00D121D9" w:rsidRDefault="009810D7" w:rsidP="009810D7">
      <w:pPr>
        <w:spacing w:line="276" w:lineRule="auto"/>
        <w:ind w:firstLine="497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0B7DA4" w:rsidRPr="009F25F2" w:rsidRDefault="009810D7" w:rsidP="00466858">
      <w:pPr>
        <w:ind w:firstLine="708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Uvedený výsledok hospodárenia</w:t>
      </w:r>
      <w:r w:rsidR="00327C56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, v súlade s</w:t>
      </w:r>
      <w:r w:rsidR="00466858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 ustanovením </w:t>
      </w:r>
      <w:r w:rsidR="00327C56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§ 15 ods. </w:t>
      </w:r>
      <w:r w:rsidR="003251BB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  <w:r w:rsidR="00466858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zákona o rozpočtových pravidlách územnej samosprávy,</w:t>
      </w:r>
      <w:r w:rsidR="00327C56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oprávňuje </w:t>
      </w:r>
      <w:r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327C56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predkladateľov </w:t>
      </w:r>
      <w:r w:rsidR="00466858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návrhu Z</w:t>
      </w:r>
      <w:r w:rsidR="00327C56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áverečného účtu</w:t>
      </w:r>
      <w:r w:rsidR="00466858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 rok 20</w:t>
      </w:r>
      <w:r w:rsidR="009F25F2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="00327C56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predložiť </w:t>
      </w:r>
      <w:r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n</w:t>
      </w:r>
      <w:r w:rsidR="00327C56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ávrh </w:t>
      </w:r>
      <w:r w:rsidR="00466858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</w:t>
      </w:r>
      <w:r w:rsidRPr="009F25F2">
        <w:rPr>
          <w:rFonts w:asciiTheme="minorHAnsi" w:hAnsiTheme="minorHAnsi" w:cstheme="minorHAnsi"/>
          <w:color w:val="000000" w:themeColor="text1"/>
          <w:spacing w:val="-4"/>
          <w:sz w:val="22"/>
          <w:szCs w:val="22"/>
        </w:rPr>
        <w:t xml:space="preserve">prevod </w:t>
      </w:r>
      <w:r w:rsidR="003B5A6D" w:rsidRPr="009F25F2">
        <w:rPr>
          <w:rFonts w:asciiTheme="minorHAnsi" w:hAnsiTheme="minorHAnsi" w:cstheme="minorHAnsi"/>
          <w:color w:val="000000" w:themeColor="text1"/>
          <w:spacing w:val="-4"/>
          <w:sz w:val="22"/>
          <w:szCs w:val="22"/>
        </w:rPr>
        <w:t xml:space="preserve">zostatku finančných prostriedkov v objeme </w:t>
      </w:r>
      <w:r w:rsidR="00327C56" w:rsidRPr="009F25F2">
        <w:rPr>
          <w:rFonts w:asciiTheme="minorHAnsi" w:hAnsiTheme="minorHAnsi" w:cstheme="minorHAnsi"/>
          <w:color w:val="000000" w:themeColor="text1"/>
          <w:spacing w:val="-4"/>
          <w:sz w:val="22"/>
          <w:szCs w:val="22"/>
        </w:rPr>
        <w:t xml:space="preserve"> </w:t>
      </w:r>
      <w:r w:rsidR="009F25F2" w:rsidRPr="009F25F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21 834 511,77 EUR</w:t>
      </w:r>
      <w:r w:rsidR="000B7DA4" w:rsidRPr="009F25F2">
        <w:rPr>
          <w:rFonts w:asciiTheme="minorHAnsi" w:hAnsiTheme="minorHAnsi" w:cstheme="minorHAnsi"/>
          <w:color w:val="000000" w:themeColor="text1"/>
          <w:spacing w:val="-4"/>
          <w:sz w:val="22"/>
          <w:szCs w:val="22"/>
        </w:rPr>
        <w:t xml:space="preserve"> </w:t>
      </w:r>
      <w:r w:rsidR="0002452E" w:rsidRPr="009F25F2">
        <w:rPr>
          <w:rFonts w:asciiTheme="minorHAnsi" w:hAnsiTheme="minorHAnsi" w:cstheme="minorHAnsi"/>
          <w:color w:val="000000" w:themeColor="text1"/>
          <w:spacing w:val="-4"/>
          <w:sz w:val="22"/>
          <w:szCs w:val="22"/>
        </w:rPr>
        <w:t>na  účet</w:t>
      </w:r>
      <w:r w:rsidR="001935E2" w:rsidRPr="009F25F2">
        <w:rPr>
          <w:rFonts w:asciiTheme="minorHAnsi" w:hAnsiTheme="minorHAnsi" w:cstheme="minorHAnsi"/>
          <w:color w:val="000000" w:themeColor="text1"/>
          <w:spacing w:val="-4"/>
          <w:sz w:val="22"/>
          <w:szCs w:val="22"/>
        </w:rPr>
        <w:t xml:space="preserve"> </w:t>
      </w:r>
      <w:r w:rsidR="003B5A6D" w:rsidRPr="009F25F2">
        <w:rPr>
          <w:rFonts w:asciiTheme="minorHAnsi" w:hAnsiTheme="minorHAnsi" w:cstheme="minorHAnsi"/>
          <w:color w:val="000000" w:themeColor="text1"/>
          <w:spacing w:val="-4"/>
          <w:sz w:val="22"/>
          <w:szCs w:val="22"/>
        </w:rPr>
        <w:t xml:space="preserve"> </w:t>
      </w:r>
      <w:r w:rsidR="000B7DA4" w:rsidRPr="009F25F2">
        <w:rPr>
          <w:rFonts w:asciiTheme="minorHAnsi" w:hAnsiTheme="minorHAnsi" w:cstheme="minorHAnsi"/>
          <w:color w:val="000000" w:themeColor="text1"/>
          <w:spacing w:val="-4"/>
          <w:sz w:val="22"/>
          <w:szCs w:val="22"/>
        </w:rPr>
        <w:t>rezervného fondu  v plnej výške</w:t>
      </w:r>
      <w:r w:rsidR="000B7DA4" w:rsidRPr="009F25F2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0B7DA4" w:rsidRPr="00D121D9" w:rsidRDefault="000B7DA4" w:rsidP="000B7DA4">
      <w:pPr>
        <w:shd w:val="clear" w:color="auto" w:fill="FFFFFF"/>
        <w:tabs>
          <w:tab w:val="decimal" w:pos="7797"/>
        </w:tabs>
        <w:ind w:left="497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</w:p>
    <w:p w:rsidR="009810D7" w:rsidRPr="00593D11" w:rsidRDefault="009810D7" w:rsidP="009810D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593D11">
        <w:rPr>
          <w:rFonts w:asciiTheme="minorHAnsi" w:hAnsiTheme="minorHAnsi" w:cstheme="minorHAnsi"/>
          <w:bCs w:val="0"/>
          <w:sz w:val="22"/>
          <w:szCs w:val="22"/>
        </w:rPr>
        <w:t>Na základe posúdenia úprav rozpočtu počas rozpočtového roka 20</w:t>
      </w:r>
      <w:r w:rsidR="00A46F25" w:rsidRPr="00593D11">
        <w:rPr>
          <w:rFonts w:asciiTheme="minorHAnsi" w:hAnsiTheme="minorHAnsi" w:cstheme="minorHAnsi"/>
          <w:bCs w:val="0"/>
          <w:sz w:val="22"/>
          <w:szCs w:val="22"/>
        </w:rPr>
        <w:t>20</w:t>
      </w:r>
      <w:r w:rsidRPr="00593D11">
        <w:rPr>
          <w:rFonts w:asciiTheme="minorHAnsi" w:hAnsiTheme="minorHAnsi" w:cstheme="minorHAnsi"/>
          <w:bCs w:val="0"/>
          <w:sz w:val="22"/>
          <w:szCs w:val="22"/>
        </w:rPr>
        <w:t xml:space="preserve">, dodržania podmienok pre vykázanie vyrovnanosti, prebytku, resp. schodku a obsahu údajov prezentovaných v predloženom návrhu </w:t>
      </w:r>
      <w:r w:rsidR="00E6076C" w:rsidRPr="00593D11">
        <w:rPr>
          <w:rFonts w:asciiTheme="minorHAnsi" w:hAnsiTheme="minorHAnsi" w:cstheme="minorHAnsi"/>
          <w:bCs w:val="0"/>
          <w:sz w:val="22"/>
          <w:szCs w:val="22"/>
        </w:rPr>
        <w:t>Z</w:t>
      </w:r>
      <w:r w:rsidRPr="00593D11">
        <w:rPr>
          <w:rFonts w:asciiTheme="minorHAnsi" w:hAnsiTheme="minorHAnsi" w:cstheme="minorHAnsi"/>
          <w:bCs w:val="0"/>
          <w:sz w:val="22"/>
          <w:szCs w:val="22"/>
        </w:rPr>
        <w:t>áverečného účtu</w:t>
      </w:r>
      <w:r w:rsidR="00E6076C" w:rsidRPr="00593D11">
        <w:rPr>
          <w:rFonts w:asciiTheme="minorHAnsi" w:hAnsiTheme="minorHAnsi" w:cstheme="minorHAnsi"/>
          <w:bCs w:val="0"/>
          <w:sz w:val="22"/>
          <w:szCs w:val="22"/>
        </w:rPr>
        <w:t xml:space="preserve"> </w:t>
      </w:r>
      <w:r w:rsidR="001D6E56">
        <w:rPr>
          <w:rFonts w:asciiTheme="minorHAnsi" w:hAnsiTheme="minorHAnsi" w:cstheme="minorHAnsi"/>
          <w:bCs w:val="0"/>
          <w:sz w:val="22"/>
          <w:szCs w:val="22"/>
        </w:rPr>
        <w:t xml:space="preserve">BSK </w:t>
      </w:r>
      <w:r w:rsidR="00E6076C" w:rsidRPr="00593D11">
        <w:rPr>
          <w:rFonts w:asciiTheme="minorHAnsi" w:hAnsiTheme="minorHAnsi" w:cstheme="minorHAnsi"/>
          <w:bCs w:val="0"/>
          <w:sz w:val="22"/>
          <w:szCs w:val="22"/>
        </w:rPr>
        <w:t>za rok 20</w:t>
      </w:r>
      <w:r w:rsidR="00593D11" w:rsidRPr="00593D11">
        <w:rPr>
          <w:rFonts w:asciiTheme="minorHAnsi" w:hAnsiTheme="minorHAnsi" w:cstheme="minorHAnsi"/>
          <w:bCs w:val="0"/>
          <w:sz w:val="22"/>
          <w:szCs w:val="22"/>
        </w:rPr>
        <w:t>20</w:t>
      </w:r>
      <w:r w:rsidR="005E5C86" w:rsidRPr="00593D11">
        <w:rPr>
          <w:rFonts w:asciiTheme="minorHAnsi" w:hAnsiTheme="minorHAnsi" w:cstheme="minorHAnsi"/>
          <w:bCs w:val="0"/>
          <w:sz w:val="22"/>
          <w:szCs w:val="22"/>
        </w:rPr>
        <w:t xml:space="preserve"> a</w:t>
      </w:r>
      <w:r w:rsidRPr="00593D11">
        <w:rPr>
          <w:rFonts w:asciiTheme="minorHAnsi" w:hAnsiTheme="minorHAnsi" w:cstheme="minorHAnsi"/>
          <w:bCs w:val="0"/>
          <w:sz w:val="22"/>
          <w:szCs w:val="22"/>
        </w:rPr>
        <w:t xml:space="preserve"> v</w:t>
      </w:r>
      <w:r w:rsidRPr="00593D11">
        <w:rPr>
          <w:rFonts w:asciiTheme="minorHAnsi" w:hAnsiTheme="minorHAnsi" w:cstheme="minorHAnsi"/>
          <w:sz w:val="22"/>
          <w:szCs w:val="22"/>
        </w:rPr>
        <w:t>zhľadom na predkladané stanovisko k jednotlivým častiam predloženého</w:t>
      </w:r>
      <w:r w:rsidR="00E6076C" w:rsidRPr="00593D11">
        <w:rPr>
          <w:rFonts w:asciiTheme="minorHAnsi" w:hAnsiTheme="minorHAnsi" w:cstheme="minorHAnsi"/>
          <w:sz w:val="22"/>
          <w:szCs w:val="22"/>
        </w:rPr>
        <w:t xml:space="preserve"> návrhu</w:t>
      </w:r>
      <w:r w:rsidRPr="00593D11">
        <w:rPr>
          <w:rFonts w:asciiTheme="minorHAnsi" w:hAnsiTheme="minorHAnsi" w:cstheme="minorHAnsi"/>
          <w:sz w:val="22"/>
          <w:szCs w:val="22"/>
        </w:rPr>
        <w:t xml:space="preserve"> </w:t>
      </w:r>
      <w:r w:rsidR="00E6076C" w:rsidRPr="00593D11">
        <w:rPr>
          <w:rFonts w:asciiTheme="minorHAnsi" w:hAnsiTheme="minorHAnsi" w:cstheme="minorHAnsi"/>
          <w:sz w:val="22"/>
          <w:szCs w:val="22"/>
        </w:rPr>
        <w:t>Z</w:t>
      </w:r>
      <w:r w:rsidRPr="00593D11">
        <w:rPr>
          <w:rFonts w:asciiTheme="minorHAnsi" w:hAnsiTheme="minorHAnsi" w:cstheme="minorHAnsi"/>
          <w:sz w:val="22"/>
          <w:szCs w:val="22"/>
        </w:rPr>
        <w:t>áverečného účtu</w:t>
      </w:r>
      <w:r w:rsidR="00E6076C" w:rsidRPr="00593D11">
        <w:rPr>
          <w:rFonts w:asciiTheme="minorHAnsi" w:hAnsiTheme="minorHAnsi" w:cstheme="minorHAnsi"/>
          <w:sz w:val="22"/>
          <w:szCs w:val="22"/>
        </w:rPr>
        <w:t xml:space="preserve"> </w:t>
      </w:r>
      <w:r w:rsidR="001D6E56">
        <w:rPr>
          <w:rFonts w:asciiTheme="minorHAnsi" w:hAnsiTheme="minorHAnsi" w:cstheme="minorHAnsi"/>
          <w:sz w:val="22"/>
          <w:szCs w:val="22"/>
        </w:rPr>
        <w:t xml:space="preserve">BSK </w:t>
      </w:r>
      <w:r w:rsidR="00E6076C" w:rsidRPr="00593D11">
        <w:rPr>
          <w:rFonts w:asciiTheme="minorHAnsi" w:hAnsiTheme="minorHAnsi" w:cstheme="minorHAnsi"/>
          <w:sz w:val="22"/>
          <w:szCs w:val="22"/>
        </w:rPr>
        <w:t>za rok 20</w:t>
      </w:r>
      <w:r w:rsidR="00593D11" w:rsidRPr="00593D11">
        <w:rPr>
          <w:rFonts w:asciiTheme="minorHAnsi" w:hAnsiTheme="minorHAnsi" w:cstheme="minorHAnsi"/>
          <w:sz w:val="22"/>
          <w:szCs w:val="22"/>
        </w:rPr>
        <w:t>20</w:t>
      </w:r>
      <w:r w:rsidRPr="00593D11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9810D7" w:rsidRPr="00D121D9" w:rsidRDefault="009810D7" w:rsidP="009810D7">
      <w:pPr>
        <w:spacing w:line="360" w:lineRule="auto"/>
        <w:jc w:val="center"/>
        <w:rPr>
          <w:rFonts w:asciiTheme="minorHAnsi" w:hAnsiTheme="minorHAnsi" w:cstheme="minorHAnsi"/>
          <w:b/>
          <w:i/>
          <w:color w:val="FF0000"/>
          <w:spacing w:val="30"/>
          <w:sz w:val="22"/>
          <w:szCs w:val="22"/>
        </w:rPr>
      </w:pPr>
    </w:p>
    <w:p w:rsidR="008D51A0" w:rsidRPr="00593D11" w:rsidRDefault="001D6E56" w:rsidP="009810D7">
      <w:pPr>
        <w:spacing w:line="360" w:lineRule="auto"/>
        <w:jc w:val="center"/>
        <w:rPr>
          <w:rFonts w:asciiTheme="minorHAnsi" w:hAnsiTheme="minorHAnsi" w:cstheme="minorHAnsi"/>
          <w:b/>
          <w:i/>
          <w:spacing w:val="30"/>
          <w:sz w:val="22"/>
          <w:szCs w:val="22"/>
        </w:rPr>
      </w:pPr>
      <w:r>
        <w:rPr>
          <w:rFonts w:asciiTheme="minorHAnsi" w:hAnsiTheme="minorHAnsi" w:cstheme="minorHAnsi"/>
          <w:b/>
          <w:i/>
          <w:spacing w:val="30"/>
          <w:sz w:val="22"/>
          <w:szCs w:val="22"/>
        </w:rPr>
        <w:t>odporúčam  zastupiteľstvu BSK</w:t>
      </w:r>
    </w:p>
    <w:p w:rsidR="009810D7" w:rsidRPr="00593D11" w:rsidRDefault="009810D7" w:rsidP="009810D7">
      <w:pPr>
        <w:spacing w:line="360" w:lineRule="auto"/>
        <w:jc w:val="center"/>
        <w:rPr>
          <w:rFonts w:asciiTheme="minorHAnsi" w:hAnsiTheme="minorHAnsi" w:cstheme="minorHAnsi"/>
          <w:b/>
          <w:i/>
          <w:spacing w:val="30"/>
          <w:sz w:val="22"/>
          <w:szCs w:val="22"/>
        </w:rPr>
      </w:pPr>
      <w:r w:rsidRPr="00593D11">
        <w:rPr>
          <w:rFonts w:asciiTheme="minorHAnsi" w:hAnsiTheme="minorHAnsi" w:cstheme="minorHAnsi"/>
          <w:b/>
          <w:i/>
          <w:spacing w:val="30"/>
          <w:sz w:val="22"/>
          <w:szCs w:val="22"/>
        </w:rPr>
        <w:t xml:space="preserve"> schváliť </w:t>
      </w:r>
    </w:p>
    <w:p w:rsidR="009810D7" w:rsidRPr="00593D11" w:rsidRDefault="009810D7" w:rsidP="009810D7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93D11">
        <w:rPr>
          <w:rFonts w:asciiTheme="minorHAnsi" w:hAnsiTheme="minorHAnsi" w:cstheme="minorHAnsi"/>
          <w:sz w:val="22"/>
          <w:szCs w:val="22"/>
        </w:rPr>
        <w:t>Záverečný účet Bratislavského samosprávneho kraja za rok 20</w:t>
      </w:r>
      <w:r w:rsidR="00A46F25" w:rsidRPr="00593D11">
        <w:rPr>
          <w:rFonts w:asciiTheme="minorHAnsi" w:hAnsiTheme="minorHAnsi" w:cstheme="minorHAnsi"/>
          <w:sz w:val="22"/>
          <w:szCs w:val="22"/>
        </w:rPr>
        <w:t>20</w:t>
      </w:r>
    </w:p>
    <w:p w:rsidR="009810D7" w:rsidRPr="00593D11" w:rsidRDefault="009810D7" w:rsidP="009810D7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93D11">
        <w:rPr>
          <w:rFonts w:asciiTheme="minorHAnsi" w:hAnsiTheme="minorHAnsi" w:cstheme="minorHAnsi"/>
          <w:b/>
          <w:sz w:val="22"/>
          <w:szCs w:val="22"/>
        </w:rPr>
        <w:t>bez výhrad.</w:t>
      </w:r>
    </w:p>
    <w:p w:rsidR="009810D7" w:rsidRPr="00593D11" w:rsidRDefault="009810D7" w:rsidP="009810D7">
      <w:pPr>
        <w:shd w:val="clear" w:color="auto" w:fill="FFFFFF"/>
        <w:ind w:left="576" w:hanging="554"/>
        <w:jc w:val="center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B17497" w:rsidRPr="00593D11" w:rsidRDefault="00B17497" w:rsidP="009810D7">
      <w:pPr>
        <w:tabs>
          <w:tab w:val="left" w:pos="709"/>
        </w:tabs>
        <w:rPr>
          <w:rFonts w:asciiTheme="minorHAnsi" w:hAnsiTheme="minorHAnsi" w:cstheme="minorHAnsi"/>
          <w:sz w:val="22"/>
          <w:szCs w:val="22"/>
          <w:highlight w:val="yellow"/>
        </w:rPr>
      </w:pPr>
    </w:p>
    <w:p w:rsidR="00B17497" w:rsidRPr="00593D11" w:rsidRDefault="00B17497" w:rsidP="009810D7">
      <w:p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</w:p>
    <w:p w:rsidR="00E941C5" w:rsidRDefault="009810D7" w:rsidP="009810D7">
      <w:p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r w:rsidRPr="00593D11">
        <w:rPr>
          <w:rFonts w:asciiTheme="minorHAnsi" w:hAnsiTheme="minorHAnsi" w:cstheme="minorHAnsi"/>
          <w:sz w:val="22"/>
          <w:szCs w:val="22"/>
        </w:rPr>
        <w:t xml:space="preserve">V Bratislave </w:t>
      </w:r>
      <w:r w:rsidR="00633C21" w:rsidRPr="00593D11">
        <w:rPr>
          <w:rFonts w:asciiTheme="minorHAnsi" w:hAnsiTheme="minorHAnsi" w:cstheme="minorHAnsi"/>
          <w:sz w:val="22"/>
          <w:szCs w:val="22"/>
        </w:rPr>
        <w:t>1</w:t>
      </w:r>
      <w:r w:rsidR="00593D11" w:rsidRPr="00593D11">
        <w:rPr>
          <w:rFonts w:asciiTheme="minorHAnsi" w:hAnsiTheme="minorHAnsi" w:cstheme="minorHAnsi"/>
          <w:sz w:val="22"/>
          <w:szCs w:val="22"/>
        </w:rPr>
        <w:t>8</w:t>
      </w:r>
      <w:r w:rsidR="00B17497" w:rsidRPr="00593D11">
        <w:rPr>
          <w:rFonts w:asciiTheme="minorHAnsi" w:hAnsiTheme="minorHAnsi" w:cstheme="minorHAnsi"/>
          <w:sz w:val="22"/>
          <w:szCs w:val="22"/>
        </w:rPr>
        <w:t xml:space="preserve">. </w:t>
      </w:r>
      <w:r w:rsidR="00F44256" w:rsidRPr="00593D11">
        <w:rPr>
          <w:rFonts w:asciiTheme="minorHAnsi" w:hAnsiTheme="minorHAnsi" w:cstheme="minorHAnsi"/>
          <w:sz w:val="22"/>
          <w:szCs w:val="22"/>
        </w:rPr>
        <w:t>0</w:t>
      </w:r>
      <w:r w:rsidR="003E401A" w:rsidRPr="00593D11">
        <w:rPr>
          <w:rFonts w:asciiTheme="minorHAnsi" w:hAnsiTheme="minorHAnsi" w:cstheme="minorHAnsi"/>
          <w:sz w:val="22"/>
          <w:szCs w:val="22"/>
        </w:rPr>
        <w:t>5</w:t>
      </w:r>
      <w:r w:rsidRPr="00593D11">
        <w:rPr>
          <w:rFonts w:asciiTheme="minorHAnsi" w:hAnsiTheme="minorHAnsi" w:cstheme="minorHAnsi"/>
          <w:sz w:val="22"/>
          <w:szCs w:val="22"/>
        </w:rPr>
        <w:t>. 20</w:t>
      </w:r>
      <w:r w:rsidR="00F44256" w:rsidRPr="00593D11">
        <w:rPr>
          <w:rFonts w:asciiTheme="minorHAnsi" w:hAnsiTheme="minorHAnsi" w:cstheme="minorHAnsi"/>
          <w:sz w:val="22"/>
          <w:szCs w:val="22"/>
        </w:rPr>
        <w:t>2</w:t>
      </w:r>
      <w:r w:rsidR="00A46F25" w:rsidRPr="00593D11">
        <w:rPr>
          <w:rFonts w:asciiTheme="minorHAnsi" w:hAnsiTheme="minorHAnsi" w:cstheme="minorHAnsi"/>
          <w:sz w:val="22"/>
          <w:szCs w:val="22"/>
        </w:rPr>
        <w:t>1</w:t>
      </w:r>
      <w:r w:rsidRPr="00593D11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F44256" w:rsidRPr="00593D11">
        <w:rPr>
          <w:rFonts w:asciiTheme="minorHAnsi" w:hAnsiTheme="minorHAnsi" w:cstheme="minorHAnsi"/>
          <w:sz w:val="22"/>
          <w:szCs w:val="22"/>
        </w:rPr>
        <w:t xml:space="preserve">                     </w:t>
      </w:r>
      <w:r w:rsidRPr="00593D11">
        <w:rPr>
          <w:rFonts w:asciiTheme="minorHAnsi" w:hAnsiTheme="minorHAnsi" w:cstheme="minorHAnsi"/>
          <w:sz w:val="22"/>
          <w:szCs w:val="22"/>
        </w:rPr>
        <w:t xml:space="preserve">                                   </w:t>
      </w:r>
    </w:p>
    <w:p w:rsidR="00E941C5" w:rsidRDefault="00E941C5" w:rsidP="009810D7">
      <w:p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</w:p>
    <w:p w:rsidR="00E941C5" w:rsidRDefault="00E941C5" w:rsidP="009810D7">
      <w:p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9810D7" w:rsidRPr="00593D11" w:rsidRDefault="00E941C5" w:rsidP="009810D7">
      <w:p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9810D7" w:rsidRPr="00593D11">
        <w:rPr>
          <w:rFonts w:asciiTheme="minorHAnsi" w:hAnsiTheme="minorHAnsi" w:cstheme="minorHAnsi"/>
          <w:sz w:val="22"/>
          <w:szCs w:val="22"/>
        </w:rPr>
        <w:t xml:space="preserve">   </w:t>
      </w:r>
      <w:r w:rsidR="00F44256" w:rsidRPr="00593D11">
        <w:rPr>
          <w:rFonts w:asciiTheme="minorHAnsi" w:hAnsiTheme="minorHAnsi" w:cstheme="minorHAnsi"/>
          <w:sz w:val="22"/>
          <w:szCs w:val="22"/>
        </w:rPr>
        <w:t xml:space="preserve">   </w:t>
      </w:r>
      <w:r w:rsidR="009810D7" w:rsidRPr="00593D11">
        <w:rPr>
          <w:rFonts w:asciiTheme="minorHAnsi" w:hAnsiTheme="minorHAnsi" w:cstheme="minorHAnsi"/>
          <w:sz w:val="22"/>
          <w:szCs w:val="22"/>
        </w:rPr>
        <w:t xml:space="preserve">Ing. </w:t>
      </w:r>
      <w:r w:rsidR="00F44256" w:rsidRPr="00593D11">
        <w:rPr>
          <w:rFonts w:asciiTheme="minorHAnsi" w:hAnsiTheme="minorHAnsi" w:cstheme="minorHAnsi"/>
          <w:sz w:val="22"/>
          <w:szCs w:val="22"/>
        </w:rPr>
        <w:t>Milan Slezák</w:t>
      </w:r>
    </w:p>
    <w:p w:rsidR="009810D7" w:rsidRPr="00593D11" w:rsidRDefault="009810D7" w:rsidP="009810D7">
      <w:pPr>
        <w:jc w:val="center"/>
        <w:rPr>
          <w:rFonts w:asciiTheme="minorHAnsi" w:hAnsiTheme="minorHAnsi" w:cstheme="minorHAnsi"/>
          <w:sz w:val="22"/>
          <w:szCs w:val="22"/>
        </w:rPr>
      </w:pPr>
      <w:r w:rsidRPr="00593D11">
        <w:rPr>
          <w:rFonts w:asciiTheme="minorHAnsi" w:hAnsiTheme="minorHAnsi" w:cstheme="minorHAnsi"/>
          <w:sz w:val="22"/>
          <w:szCs w:val="22"/>
        </w:rPr>
        <w:tab/>
        <w:t xml:space="preserve">                  </w:t>
      </w:r>
      <w:r w:rsidRPr="00593D11">
        <w:rPr>
          <w:rFonts w:asciiTheme="minorHAnsi" w:hAnsiTheme="minorHAnsi" w:cstheme="minorHAnsi"/>
          <w:sz w:val="22"/>
          <w:szCs w:val="22"/>
        </w:rPr>
        <w:tab/>
        <w:t xml:space="preserve">                       </w:t>
      </w:r>
      <w:r w:rsidRPr="00593D11">
        <w:rPr>
          <w:rFonts w:asciiTheme="minorHAnsi" w:hAnsiTheme="minorHAnsi" w:cstheme="minorHAnsi"/>
          <w:sz w:val="22"/>
          <w:szCs w:val="22"/>
        </w:rPr>
        <w:tab/>
        <w:t xml:space="preserve">           hlavný kontrolór BSK</w:t>
      </w:r>
    </w:p>
    <w:sectPr w:rsidR="009810D7" w:rsidRPr="00593D11" w:rsidSect="00912184">
      <w:footerReference w:type="even" r:id="rId9"/>
      <w:footerReference w:type="default" r:id="rId10"/>
      <w:pgSz w:w="11906" w:h="16838"/>
      <w:pgMar w:top="89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52D" w:rsidRDefault="0069252D">
      <w:r>
        <w:separator/>
      </w:r>
    </w:p>
  </w:endnote>
  <w:endnote w:type="continuationSeparator" w:id="0">
    <w:p w:rsidR="0069252D" w:rsidRDefault="00692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CFC" w:rsidRDefault="00DA6CFC" w:rsidP="00880B54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A6CFC" w:rsidRDefault="00DA6CF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CFC" w:rsidRDefault="00DA6CFC" w:rsidP="00880B54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5640E1">
      <w:rPr>
        <w:rStyle w:val="slostrany"/>
        <w:noProof/>
      </w:rPr>
      <w:t>10</w:t>
    </w:r>
    <w:r>
      <w:rPr>
        <w:rStyle w:val="slostrany"/>
      </w:rPr>
      <w:fldChar w:fldCharType="end"/>
    </w:r>
  </w:p>
  <w:p w:rsidR="00DA6CFC" w:rsidRDefault="00DA6CF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52D" w:rsidRDefault="0069252D">
      <w:r>
        <w:separator/>
      </w:r>
    </w:p>
  </w:footnote>
  <w:footnote w:type="continuationSeparator" w:id="0">
    <w:p w:rsidR="0069252D" w:rsidRDefault="00692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1052"/>
    <w:multiLevelType w:val="hybridMultilevel"/>
    <w:tmpl w:val="AE662364"/>
    <w:lvl w:ilvl="0" w:tplc="041B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1" w15:restartNumberingAfterBreak="0">
    <w:nsid w:val="01623D47"/>
    <w:multiLevelType w:val="hybridMultilevel"/>
    <w:tmpl w:val="9B8CD92C"/>
    <w:lvl w:ilvl="0" w:tplc="F95283FA">
      <w:start w:val="1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50FCF"/>
    <w:multiLevelType w:val="hybridMultilevel"/>
    <w:tmpl w:val="71C890D0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A00DE1"/>
    <w:multiLevelType w:val="hybridMultilevel"/>
    <w:tmpl w:val="BD10B542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66CD50">
      <w:start w:val="1"/>
      <w:numFmt w:val="bullet"/>
      <w:lvlText w:val="-"/>
      <w:lvlJc w:val="left"/>
      <w:pPr>
        <w:tabs>
          <w:tab w:val="num" w:pos="1695"/>
        </w:tabs>
        <w:ind w:left="1695" w:hanging="615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404D0"/>
    <w:multiLevelType w:val="hybridMultilevel"/>
    <w:tmpl w:val="5FA0E2B0"/>
    <w:lvl w:ilvl="0" w:tplc="585E9638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76999"/>
    <w:multiLevelType w:val="hybridMultilevel"/>
    <w:tmpl w:val="5F281AE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C66E6"/>
    <w:multiLevelType w:val="hybridMultilevel"/>
    <w:tmpl w:val="B1046448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651558"/>
    <w:multiLevelType w:val="hybridMultilevel"/>
    <w:tmpl w:val="B24C9038"/>
    <w:lvl w:ilvl="0" w:tplc="2AE879F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FC3E9E"/>
    <w:multiLevelType w:val="hybridMultilevel"/>
    <w:tmpl w:val="8AB0ED3E"/>
    <w:lvl w:ilvl="0" w:tplc="3DE86C5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033EB"/>
    <w:multiLevelType w:val="hybridMultilevel"/>
    <w:tmpl w:val="6ADA91DE"/>
    <w:lvl w:ilvl="0" w:tplc="F4308428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55367F"/>
    <w:multiLevelType w:val="hybridMultilevel"/>
    <w:tmpl w:val="A596DD0A"/>
    <w:lvl w:ilvl="0" w:tplc="041B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C918D9"/>
    <w:multiLevelType w:val="multilevel"/>
    <w:tmpl w:val="E2AC9C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41E462F"/>
    <w:multiLevelType w:val="hybridMultilevel"/>
    <w:tmpl w:val="ACD28670"/>
    <w:lvl w:ilvl="0" w:tplc="49047ED8">
      <w:start w:val="1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759B"/>
    <w:multiLevelType w:val="multilevel"/>
    <w:tmpl w:val="D3EA54D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8CD7997"/>
    <w:multiLevelType w:val="multilevel"/>
    <w:tmpl w:val="DC983ED8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29C93AB6"/>
    <w:multiLevelType w:val="hybridMultilevel"/>
    <w:tmpl w:val="2292BD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674DC3"/>
    <w:multiLevelType w:val="hybridMultilevel"/>
    <w:tmpl w:val="F7181C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5160C4"/>
    <w:multiLevelType w:val="hybridMultilevel"/>
    <w:tmpl w:val="542C82B8"/>
    <w:lvl w:ilvl="0" w:tplc="2B282CA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43CE7"/>
    <w:multiLevelType w:val="hybridMultilevel"/>
    <w:tmpl w:val="3A705F82"/>
    <w:lvl w:ilvl="0" w:tplc="618EFCEA">
      <w:start w:val="1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5C5541"/>
    <w:multiLevelType w:val="hybridMultilevel"/>
    <w:tmpl w:val="0276E42A"/>
    <w:lvl w:ilvl="0" w:tplc="FF38D38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D442033"/>
    <w:multiLevelType w:val="hybridMultilevel"/>
    <w:tmpl w:val="FEDAACCA"/>
    <w:lvl w:ilvl="0" w:tplc="041B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4A3A3C"/>
    <w:multiLevelType w:val="hybridMultilevel"/>
    <w:tmpl w:val="9C968BAE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2AF6C57"/>
    <w:multiLevelType w:val="hybridMultilevel"/>
    <w:tmpl w:val="0B1A2252"/>
    <w:lvl w:ilvl="0" w:tplc="041B000F">
      <w:start w:val="1"/>
      <w:numFmt w:val="decimal"/>
      <w:lvlText w:val="%1."/>
      <w:lvlJc w:val="left"/>
      <w:pPr>
        <w:ind w:left="2367" w:hanging="360"/>
      </w:pPr>
    </w:lvl>
    <w:lvl w:ilvl="1" w:tplc="041B0019" w:tentative="1">
      <w:start w:val="1"/>
      <w:numFmt w:val="lowerLetter"/>
      <w:lvlText w:val="%2."/>
      <w:lvlJc w:val="left"/>
      <w:pPr>
        <w:ind w:left="3087" w:hanging="360"/>
      </w:pPr>
    </w:lvl>
    <w:lvl w:ilvl="2" w:tplc="041B001B" w:tentative="1">
      <w:start w:val="1"/>
      <w:numFmt w:val="lowerRoman"/>
      <w:lvlText w:val="%3."/>
      <w:lvlJc w:val="right"/>
      <w:pPr>
        <w:ind w:left="3807" w:hanging="180"/>
      </w:pPr>
    </w:lvl>
    <w:lvl w:ilvl="3" w:tplc="041B000F" w:tentative="1">
      <w:start w:val="1"/>
      <w:numFmt w:val="decimal"/>
      <w:lvlText w:val="%4."/>
      <w:lvlJc w:val="left"/>
      <w:pPr>
        <w:ind w:left="4527" w:hanging="360"/>
      </w:pPr>
    </w:lvl>
    <w:lvl w:ilvl="4" w:tplc="041B0019" w:tentative="1">
      <w:start w:val="1"/>
      <w:numFmt w:val="lowerLetter"/>
      <w:lvlText w:val="%5."/>
      <w:lvlJc w:val="left"/>
      <w:pPr>
        <w:ind w:left="5247" w:hanging="360"/>
      </w:pPr>
    </w:lvl>
    <w:lvl w:ilvl="5" w:tplc="041B001B" w:tentative="1">
      <w:start w:val="1"/>
      <w:numFmt w:val="lowerRoman"/>
      <w:lvlText w:val="%6."/>
      <w:lvlJc w:val="right"/>
      <w:pPr>
        <w:ind w:left="5967" w:hanging="180"/>
      </w:pPr>
    </w:lvl>
    <w:lvl w:ilvl="6" w:tplc="041B000F" w:tentative="1">
      <w:start w:val="1"/>
      <w:numFmt w:val="decimal"/>
      <w:lvlText w:val="%7."/>
      <w:lvlJc w:val="left"/>
      <w:pPr>
        <w:ind w:left="6687" w:hanging="360"/>
      </w:pPr>
    </w:lvl>
    <w:lvl w:ilvl="7" w:tplc="041B0019" w:tentative="1">
      <w:start w:val="1"/>
      <w:numFmt w:val="lowerLetter"/>
      <w:lvlText w:val="%8."/>
      <w:lvlJc w:val="left"/>
      <w:pPr>
        <w:ind w:left="7407" w:hanging="360"/>
      </w:pPr>
    </w:lvl>
    <w:lvl w:ilvl="8" w:tplc="041B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23" w15:restartNumberingAfterBreak="0">
    <w:nsid w:val="44AD534B"/>
    <w:multiLevelType w:val="hybridMultilevel"/>
    <w:tmpl w:val="5F1E66BE"/>
    <w:lvl w:ilvl="0" w:tplc="4FD40644">
      <w:start w:val="2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 w15:restartNumberingAfterBreak="0">
    <w:nsid w:val="468C1D39"/>
    <w:multiLevelType w:val="hybridMultilevel"/>
    <w:tmpl w:val="8146F0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D855B8"/>
    <w:multiLevelType w:val="hybridMultilevel"/>
    <w:tmpl w:val="28EEC112"/>
    <w:lvl w:ilvl="0" w:tplc="3CF4B95A">
      <w:start w:val="14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52BB3"/>
    <w:multiLevelType w:val="hybridMultilevel"/>
    <w:tmpl w:val="DE6A462C"/>
    <w:lvl w:ilvl="0" w:tplc="A0F2DF44">
      <w:start w:val="2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2415449"/>
    <w:multiLevelType w:val="hybridMultilevel"/>
    <w:tmpl w:val="C512C204"/>
    <w:lvl w:ilvl="0" w:tplc="2DECFE6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29B4705"/>
    <w:multiLevelType w:val="hybridMultilevel"/>
    <w:tmpl w:val="7A36F5D0"/>
    <w:lvl w:ilvl="0" w:tplc="CAE42B8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A219DB"/>
    <w:multiLevelType w:val="hybridMultilevel"/>
    <w:tmpl w:val="2034CA0E"/>
    <w:lvl w:ilvl="0" w:tplc="9D7C4AC0">
      <w:start w:val="1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304495"/>
    <w:multiLevelType w:val="hybridMultilevel"/>
    <w:tmpl w:val="380C6D1A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7552622"/>
    <w:multiLevelType w:val="hybridMultilevel"/>
    <w:tmpl w:val="418E4124"/>
    <w:lvl w:ilvl="0" w:tplc="580E977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2" w15:restartNumberingAfterBreak="0">
    <w:nsid w:val="578F60CC"/>
    <w:multiLevelType w:val="hybridMultilevel"/>
    <w:tmpl w:val="EB34C8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6F7C5C"/>
    <w:multiLevelType w:val="hybridMultilevel"/>
    <w:tmpl w:val="72A46A10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Lucida Console" w:hAnsi="Lucida Console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Lucida Console" w:hAnsi="Lucida Console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Lucida Console" w:hAnsi="Lucida Console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55D74AE"/>
    <w:multiLevelType w:val="hybridMultilevel"/>
    <w:tmpl w:val="3B708A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3646B1"/>
    <w:multiLevelType w:val="hybridMultilevel"/>
    <w:tmpl w:val="B2BE9830"/>
    <w:lvl w:ilvl="0" w:tplc="749ACD9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8C349FF"/>
    <w:multiLevelType w:val="hybridMultilevel"/>
    <w:tmpl w:val="913654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513A2"/>
    <w:multiLevelType w:val="hybridMultilevel"/>
    <w:tmpl w:val="D78CAD3A"/>
    <w:lvl w:ilvl="0" w:tplc="E9BC8424">
      <w:start w:val="1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C85C03"/>
    <w:multiLevelType w:val="hybridMultilevel"/>
    <w:tmpl w:val="4E22EC24"/>
    <w:lvl w:ilvl="0" w:tplc="41A831C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BF5315"/>
    <w:multiLevelType w:val="hybridMultilevel"/>
    <w:tmpl w:val="AB3818CC"/>
    <w:lvl w:ilvl="0" w:tplc="0536622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04522A"/>
    <w:multiLevelType w:val="hybridMultilevel"/>
    <w:tmpl w:val="96944A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F4354B"/>
    <w:multiLevelType w:val="hybridMultilevel"/>
    <w:tmpl w:val="931CFDA8"/>
    <w:lvl w:ilvl="0" w:tplc="FFFFFFFF">
      <w:start w:val="1"/>
      <w:numFmt w:val="bulle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0454D9F"/>
    <w:multiLevelType w:val="hybridMultilevel"/>
    <w:tmpl w:val="8F7AC604"/>
    <w:lvl w:ilvl="0" w:tplc="73AE4FC4">
      <w:start w:val="1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B21AD2"/>
    <w:multiLevelType w:val="hybridMultilevel"/>
    <w:tmpl w:val="E49CF912"/>
    <w:lvl w:ilvl="0" w:tplc="7A6CF8EA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2D660D"/>
    <w:multiLevelType w:val="hybridMultilevel"/>
    <w:tmpl w:val="60C26A50"/>
    <w:lvl w:ilvl="0" w:tplc="BF80460A">
      <w:start w:val="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C1868E3"/>
    <w:multiLevelType w:val="hybridMultilevel"/>
    <w:tmpl w:val="DB32B496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4200D9"/>
    <w:multiLevelType w:val="hybridMultilevel"/>
    <w:tmpl w:val="2224027C"/>
    <w:lvl w:ilvl="0" w:tplc="922068FC">
      <w:start w:val="4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E5F62FB"/>
    <w:multiLevelType w:val="hybridMultilevel"/>
    <w:tmpl w:val="C7A0CA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331B22"/>
    <w:multiLevelType w:val="hybridMultilevel"/>
    <w:tmpl w:val="7D42D0CC"/>
    <w:lvl w:ilvl="0" w:tplc="3F6EAA30">
      <w:start w:val="1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15"/>
  </w:num>
  <w:num w:numId="4">
    <w:abstractNumId w:val="32"/>
  </w:num>
  <w:num w:numId="5">
    <w:abstractNumId w:val="11"/>
  </w:num>
  <w:num w:numId="6">
    <w:abstractNumId w:val="3"/>
  </w:num>
  <w:num w:numId="7">
    <w:abstractNumId w:val="14"/>
  </w:num>
  <w:num w:numId="8">
    <w:abstractNumId w:val="7"/>
  </w:num>
  <w:num w:numId="9">
    <w:abstractNumId w:val="33"/>
  </w:num>
  <w:num w:numId="10">
    <w:abstractNumId w:val="13"/>
  </w:num>
  <w:num w:numId="11">
    <w:abstractNumId w:val="30"/>
  </w:num>
  <w:num w:numId="12">
    <w:abstractNumId w:val="41"/>
  </w:num>
  <w:num w:numId="13">
    <w:abstractNumId w:val="31"/>
  </w:num>
  <w:num w:numId="14">
    <w:abstractNumId w:val="46"/>
  </w:num>
  <w:num w:numId="15">
    <w:abstractNumId w:val="28"/>
  </w:num>
  <w:num w:numId="16">
    <w:abstractNumId w:val="0"/>
  </w:num>
  <w:num w:numId="17">
    <w:abstractNumId w:val="27"/>
  </w:num>
  <w:num w:numId="18">
    <w:abstractNumId w:val="5"/>
  </w:num>
  <w:num w:numId="19">
    <w:abstractNumId w:val="19"/>
  </w:num>
  <w:num w:numId="20">
    <w:abstractNumId w:val="22"/>
  </w:num>
  <w:num w:numId="21">
    <w:abstractNumId w:val="2"/>
  </w:num>
  <w:num w:numId="22">
    <w:abstractNumId w:val="6"/>
  </w:num>
  <w:num w:numId="23">
    <w:abstractNumId w:val="10"/>
  </w:num>
  <w:num w:numId="24">
    <w:abstractNumId w:val="45"/>
  </w:num>
  <w:num w:numId="25">
    <w:abstractNumId w:val="20"/>
  </w:num>
  <w:num w:numId="26">
    <w:abstractNumId w:val="44"/>
  </w:num>
  <w:num w:numId="27">
    <w:abstractNumId w:val="17"/>
  </w:num>
  <w:num w:numId="28">
    <w:abstractNumId w:val="8"/>
  </w:num>
  <w:num w:numId="29">
    <w:abstractNumId w:val="39"/>
  </w:num>
  <w:num w:numId="30">
    <w:abstractNumId w:val="23"/>
  </w:num>
  <w:num w:numId="31">
    <w:abstractNumId w:val="38"/>
  </w:num>
  <w:num w:numId="32">
    <w:abstractNumId w:val="29"/>
  </w:num>
  <w:num w:numId="33">
    <w:abstractNumId w:val="42"/>
  </w:num>
  <w:num w:numId="34">
    <w:abstractNumId w:val="37"/>
  </w:num>
  <w:num w:numId="35">
    <w:abstractNumId w:val="1"/>
  </w:num>
  <w:num w:numId="36">
    <w:abstractNumId w:val="48"/>
  </w:num>
  <w:num w:numId="37">
    <w:abstractNumId w:val="18"/>
  </w:num>
  <w:num w:numId="38">
    <w:abstractNumId w:val="9"/>
  </w:num>
  <w:num w:numId="39">
    <w:abstractNumId w:val="26"/>
  </w:num>
  <w:num w:numId="40">
    <w:abstractNumId w:val="12"/>
  </w:num>
  <w:num w:numId="41">
    <w:abstractNumId w:val="43"/>
  </w:num>
  <w:num w:numId="42">
    <w:abstractNumId w:val="4"/>
  </w:num>
  <w:num w:numId="43">
    <w:abstractNumId w:val="25"/>
  </w:num>
  <w:num w:numId="44">
    <w:abstractNumId w:val="36"/>
  </w:num>
  <w:num w:numId="45">
    <w:abstractNumId w:val="47"/>
  </w:num>
  <w:num w:numId="46">
    <w:abstractNumId w:val="16"/>
  </w:num>
  <w:num w:numId="47">
    <w:abstractNumId w:val="35"/>
  </w:num>
  <w:num w:numId="48">
    <w:abstractNumId w:val="21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0D7"/>
    <w:rsid w:val="00007168"/>
    <w:rsid w:val="0000770D"/>
    <w:rsid w:val="000129C7"/>
    <w:rsid w:val="00012C5E"/>
    <w:rsid w:val="00013009"/>
    <w:rsid w:val="00016754"/>
    <w:rsid w:val="000205E6"/>
    <w:rsid w:val="00020AAD"/>
    <w:rsid w:val="00021464"/>
    <w:rsid w:val="00022E8B"/>
    <w:rsid w:val="0002422E"/>
    <w:rsid w:val="0002452E"/>
    <w:rsid w:val="00024925"/>
    <w:rsid w:val="0002605A"/>
    <w:rsid w:val="0002675A"/>
    <w:rsid w:val="00026946"/>
    <w:rsid w:val="000336F9"/>
    <w:rsid w:val="00040CD1"/>
    <w:rsid w:val="00040E0B"/>
    <w:rsid w:val="00041D9B"/>
    <w:rsid w:val="00044C96"/>
    <w:rsid w:val="000456AE"/>
    <w:rsid w:val="0004659B"/>
    <w:rsid w:val="0005162D"/>
    <w:rsid w:val="00051EB7"/>
    <w:rsid w:val="0005462C"/>
    <w:rsid w:val="000617AC"/>
    <w:rsid w:val="00061C94"/>
    <w:rsid w:val="00062E57"/>
    <w:rsid w:val="00063A3D"/>
    <w:rsid w:val="00065103"/>
    <w:rsid w:val="00066BE3"/>
    <w:rsid w:val="000677F8"/>
    <w:rsid w:val="00070B21"/>
    <w:rsid w:val="00070C6F"/>
    <w:rsid w:val="00071924"/>
    <w:rsid w:val="0007244C"/>
    <w:rsid w:val="0007767B"/>
    <w:rsid w:val="000814E4"/>
    <w:rsid w:val="000848DA"/>
    <w:rsid w:val="00085632"/>
    <w:rsid w:val="000925F3"/>
    <w:rsid w:val="00094226"/>
    <w:rsid w:val="00096BFC"/>
    <w:rsid w:val="000A06E4"/>
    <w:rsid w:val="000A355F"/>
    <w:rsid w:val="000A5796"/>
    <w:rsid w:val="000B25F9"/>
    <w:rsid w:val="000B284B"/>
    <w:rsid w:val="000B3ADB"/>
    <w:rsid w:val="000B456D"/>
    <w:rsid w:val="000B5239"/>
    <w:rsid w:val="000B7DA4"/>
    <w:rsid w:val="000C0293"/>
    <w:rsid w:val="000C036F"/>
    <w:rsid w:val="000C1CE9"/>
    <w:rsid w:val="000C36DE"/>
    <w:rsid w:val="000D2DE2"/>
    <w:rsid w:val="000D2FE2"/>
    <w:rsid w:val="000D4636"/>
    <w:rsid w:val="000E0308"/>
    <w:rsid w:val="000E086F"/>
    <w:rsid w:val="000F2F2F"/>
    <w:rsid w:val="000F4D2C"/>
    <w:rsid w:val="000F5E90"/>
    <w:rsid w:val="000F6B5B"/>
    <w:rsid w:val="00101F8C"/>
    <w:rsid w:val="00103489"/>
    <w:rsid w:val="0010419B"/>
    <w:rsid w:val="00106C9C"/>
    <w:rsid w:val="00112DFF"/>
    <w:rsid w:val="00122254"/>
    <w:rsid w:val="00122514"/>
    <w:rsid w:val="0012702E"/>
    <w:rsid w:val="001301AE"/>
    <w:rsid w:val="00131DD3"/>
    <w:rsid w:val="0014018B"/>
    <w:rsid w:val="00142910"/>
    <w:rsid w:val="00143210"/>
    <w:rsid w:val="00143867"/>
    <w:rsid w:val="00144724"/>
    <w:rsid w:val="00145104"/>
    <w:rsid w:val="00151A91"/>
    <w:rsid w:val="00152D18"/>
    <w:rsid w:val="001545D0"/>
    <w:rsid w:val="0015575C"/>
    <w:rsid w:val="001603E8"/>
    <w:rsid w:val="00161D22"/>
    <w:rsid w:val="00161DAB"/>
    <w:rsid w:val="00161F45"/>
    <w:rsid w:val="00163458"/>
    <w:rsid w:val="001635E7"/>
    <w:rsid w:val="00163E3F"/>
    <w:rsid w:val="00164EAA"/>
    <w:rsid w:val="001703D3"/>
    <w:rsid w:val="00170D5E"/>
    <w:rsid w:val="00171CF8"/>
    <w:rsid w:val="001728A5"/>
    <w:rsid w:val="00173332"/>
    <w:rsid w:val="00173AFF"/>
    <w:rsid w:val="001748BB"/>
    <w:rsid w:val="0017731D"/>
    <w:rsid w:val="00177BF4"/>
    <w:rsid w:val="001800E5"/>
    <w:rsid w:val="00180EFE"/>
    <w:rsid w:val="0018169E"/>
    <w:rsid w:val="00184171"/>
    <w:rsid w:val="001843C4"/>
    <w:rsid w:val="001850DF"/>
    <w:rsid w:val="00186309"/>
    <w:rsid w:val="001935E2"/>
    <w:rsid w:val="0019469D"/>
    <w:rsid w:val="001952DB"/>
    <w:rsid w:val="001969FB"/>
    <w:rsid w:val="00197762"/>
    <w:rsid w:val="001A0C89"/>
    <w:rsid w:val="001A343E"/>
    <w:rsid w:val="001A4119"/>
    <w:rsid w:val="001A77EE"/>
    <w:rsid w:val="001B324A"/>
    <w:rsid w:val="001B340D"/>
    <w:rsid w:val="001B4E3D"/>
    <w:rsid w:val="001B528D"/>
    <w:rsid w:val="001B6533"/>
    <w:rsid w:val="001C3DB5"/>
    <w:rsid w:val="001C56EC"/>
    <w:rsid w:val="001C62A9"/>
    <w:rsid w:val="001D2140"/>
    <w:rsid w:val="001D2FC0"/>
    <w:rsid w:val="001D3E90"/>
    <w:rsid w:val="001D5628"/>
    <w:rsid w:val="001D5842"/>
    <w:rsid w:val="001D6E56"/>
    <w:rsid w:val="001D77C6"/>
    <w:rsid w:val="001E1273"/>
    <w:rsid w:val="001E12F3"/>
    <w:rsid w:val="001E4092"/>
    <w:rsid w:val="001E4345"/>
    <w:rsid w:val="001F1012"/>
    <w:rsid w:val="001F1C2D"/>
    <w:rsid w:val="001F24B2"/>
    <w:rsid w:val="001F2C9B"/>
    <w:rsid w:val="001F4D39"/>
    <w:rsid w:val="001F6539"/>
    <w:rsid w:val="00202AA5"/>
    <w:rsid w:val="002031C4"/>
    <w:rsid w:val="002038AF"/>
    <w:rsid w:val="00205008"/>
    <w:rsid w:val="00207E4C"/>
    <w:rsid w:val="00210E9E"/>
    <w:rsid w:val="002155FC"/>
    <w:rsid w:val="00221D8B"/>
    <w:rsid w:val="002252FA"/>
    <w:rsid w:val="00225CA3"/>
    <w:rsid w:val="00230EE3"/>
    <w:rsid w:val="002314D4"/>
    <w:rsid w:val="00232CB7"/>
    <w:rsid w:val="002331EE"/>
    <w:rsid w:val="0023379F"/>
    <w:rsid w:val="002343D9"/>
    <w:rsid w:val="002366A1"/>
    <w:rsid w:val="002402B8"/>
    <w:rsid w:val="002413A4"/>
    <w:rsid w:val="0024469B"/>
    <w:rsid w:val="00245448"/>
    <w:rsid w:val="0024630D"/>
    <w:rsid w:val="002529FB"/>
    <w:rsid w:val="00254005"/>
    <w:rsid w:val="00254F1E"/>
    <w:rsid w:val="00255D59"/>
    <w:rsid w:val="002570BE"/>
    <w:rsid w:val="00264D59"/>
    <w:rsid w:val="0026601C"/>
    <w:rsid w:val="00272AE2"/>
    <w:rsid w:val="00274557"/>
    <w:rsid w:val="00274648"/>
    <w:rsid w:val="00275022"/>
    <w:rsid w:val="00283492"/>
    <w:rsid w:val="002838C7"/>
    <w:rsid w:val="00284B0C"/>
    <w:rsid w:val="00284DAB"/>
    <w:rsid w:val="00285938"/>
    <w:rsid w:val="00290C1D"/>
    <w:rsid w:val="002913E0"/>
    <w:rsid w:val="0029276E"/>
    <w:rsid w:val="00292C81"/>
    <w:rsid w:val="00294410"/>
    <w:rsid w:val="00294680"/>
    <w:rsid w:val="002971CF"/>
    <w:rsid w:val="002A0D7E"/>
    <w:rsid w:val="002A1E82"/>
    <w:rsid w:val="002A2919"/>
    <w:rsid w:val="002A51F0"/>
    <w:rsid w:val="002A56E6"/>
    <w:rsid w:val="002A6936"/>
    <w:rsid w:val="002B2214"/>
    <w:rsid w:val="002B30DC"/>
    <w:rsid w:val="002B341D"/>
    <w:rsid w:val="002B6DF7"/>
    <w:rsid w:val="002B7C80"/>
    <w:rsid w:val="002C05F1"/>
    <w:rsid w:val="002C5CB8"/>
    <w:rsid w:val="002D2024"/>
    <w:rsid w:val="002D46AB"/>
    <w:rsid w:val="002D49BE"/>
    <w:rsid w:val="002D49C5"/>
    <w:rsid w:val="002E1510"/>
    <w:rsid w:val="002E7CDA"/>
    <w:rsid w:val="002F42EE"/>
    <w:rsid w:val="002F44F3"/>
    <w:rsid w:val="002F50C1"/>
    <w:rsid w:val="002F5CD0"/>
    <w:rsid w:val="003005C1"/>
    <w:rsid w:val="00302013"/>
    <w:rsid w:val="00304954"/>
    <w:rsid w:val="003057A3"/>
    <w:rsid w:val="00305E75"/>
    <w:rsid w:val="00306760"/>
    <w:rsid w:val="00311070"/>
    <w:rsid w:val="00314668"/>
    <w:rsid w:val="00315E1F"/>
    <w:rsid w:val="00316A88"/>
    <w:rsid w:val="00317D37"/>
    <w:rsid w:val="00320198"/>
    <w:rsid w:val="00321552"/>
    <w:rsid w:val="0032247F"/>
    <w:rsid w:val="003231B7"/>
    <w:rsid w:val="003251BB"/>
    <w:rsid w:val="00325AE9"/>
    <w:rsid w:val="00327C56"/>
    <w:rsid w:val="003315C5"/>
    <w:rsid w:val="00332287"/>
    <w:rsid w:val="0033303E"/>
    <w:rsid w:val="0033452B"/>
    <w:rsid w:val="00335028"/>
    <w:rsid w:val="00344DD1"/>
    <w:rsid w:val="00347787"/>
    <w:rsid w:val="003535F9"/>
    <w:rsid w:val="00353B06"/>
    <w:rsid w:val="00353C4F"/>
    <w:rsid w:val="00353F1B"/>
    <w:rsid w:val="00355906"/>
    <w:rsid w:val="003608E6"/>
    <w:rsid w:val="00360C86"/>
    <w:rsid w:val="00361FC8"/>
    <w:rsid w:val="00363F4D"/>
    <w:rsid w:val="00367053"/>
    <w:rsid w:val="0037171E"/>
    <w:rsid w:val="00371FE8"/>
    <w:rsid w:val="0037244A"/>
    <w:rsid w:val="00376C0E"/>
    <w:rsid w:val="00377BCA"/>
    <w:rsid w:val="00381A83"/>
    <w:rsid w:val="00381D73"/>
    <w:rsid w:val="0038391D"/>
    <w:rsid w:val="00383977"/>
    <w:rsid w:val="00383C7C"/>
    <w:rsid w:val="00383DDB"/>
    <w:rsid w:val="00384CAF"/>
    <w:rsid w:val="00386182"/>
    <w:rsid w:val="00390458"/>
    <w:rsid w:val="00390670"/>
    <w:rsid w:val="003A0948"/>
    <w:rsid w:val="003A2DAE"/>
    <w:rsid w:val="003A2E9C"/>
    <w:rsid w:val="003A670F"/>
    <w:rsid w:val="003B0ED1"/>
    <w:rsid w:val="003B0ED8"/>
    <w:rsid w:val="003B1AD2"/>
    <w:rsid w:val="003B5A6D"/>
    <w:rsid w:val="003C192D"/>
    <w:rsid w:val="003C1B96"/>
    <w:rsid w:val="003C1BE4"/>
    <w:rsid w:val="003C32D2"/>
    <w:rsid w:val="003C5602"/>
    <w:rsid w:val="003C6C5E"/>
    <w:rsid w:val="003C7C62"/>
    <w:rsid w:val="003D02AD"/>
    <w:rsid w:val="003D1E6F"/>
    <w:rsid w:val="003D218F"/>
    <w:rsid w:val="003D257A"/>
    <w:rsid w:val="003D2E40"/>
    <w:rsid w:val="003D4F3E"/>
    <w:rsid w:val="003D5267"/>
    <w:rsid w:val="003D78C2"/>
    <w:rsid w:val="003E2132"/>
    <w:rsid w:val="003E401A"/>
    <w:rsid w:val="003F0698"/>
    <w:rsid w:val="003F0802"/>
    <w:rsid w:val="003F3082"/>
    <w:rsid w:val="003F3F22"/>
    <w:rsid w:val="003F4DA2"/>
    <w:rsid w:val="003F6FB1"/>
    <w:rsid w:val="003F7833"/>
    <w:rsid w:val="00400779"/>
    <w:rsid w:val="0040200C"/>
    <w:rsid w:val="004027AB"/>
    <w:rsid w:val="00402FB1"/>
    <w:rsid w:val="00407669"/>
    <w:rsid w:val="0041124B"/>
    <w:rsid w:val="0041446A"/>
    <w:rsid w:val="0041701C"/>
    <w:rsid w:val="0041748C"/>
    <w:rsid w:val="00417BE5"/>
    <w:rsid w:val="004202C0"/>
    <w:rsid w:val="00420E6A"/>
    <w:rsid w:val="00421368"/>
    <w:rsid w:val="004223AA"/>
    <w:rsid w:val="004227B1"/>
    <w:rsid w:val="0042797B"/>
    <w:rsid w:val="00431C39"/>
    <w:rsid w:val="004365CF"/>
    <w:rsid w:val="00436660"/>
    <w:rsid w:val="00441FC3"/>
    <w:rsid w:val="004440A8"/>
    <w:rsid w:val="00444B47"/>
    <w:rsid w:val="0044791F"/>
    <w:rsid w:val="00453B8B"/>
    <w:rsid w:val="00453F50"/>
    <w:rsid w:val="004543D6"/>
    <w:rsid w:val="00454878"/>
    <w:rsid w:val="00457442"/>
    <w:rsid w:val="00462C11"/>
    <w:rsid w:val="00464215"/>
    <w:rsid w:val="00464701"/>
    <w:rsid w:val="00464C9E"/>
    <w:rsid w:val="00466858"/>
    <w:rsid w:val="0047366F"/>
    <w:rsid w:val="00473679"/>
    <w:rsid w:val="00473C6A"/>
    <w:rsid w:val="004748F5"/>
    <w:rsid w:val="00476CF0"/>
    <w:rsid w:val="00481655"/>
    <w:rsid w:val="00481D6F"/>
    <w:rsid w:val="00485243"/>
    <w:rsid w:val="00485AA9"/>
    <w:rsid w:val="00487DB6"/>
    <w:rsid w:val="00491DF8"/>
    <w:rsid w:val="00492B7D"/>
    <w:rsid w:val="00494AC1"/>
    <w:rsid w:val="00494EF5"/>
    <w:rsid w:val="0049510F"/>
    <w:rsid w:val="00496962"/>
    <w:rsid w:val="004A020D"/>
    <w:rsid w:val="004A287C"/>
    <w:rsid w:val="004A72BF"/>
    <w:rsid w:val="004B16D7"/>
    <w:rsid w:val="004B2003"/>
    <w:rsid w:val="004B2B2E"/>
    <w:rsid w:val="004B358B"/>
    <w:rsid w:val="004B47B2"/>
    <w:rsid w:val="004B4F45"/>
    <w:rsid w:val="004B68A9"/>
    <w:rsid w:val="004C1803"/>
    <w:rsid w:val="004C2B9A"/>
    <w:rsid w:val="004C4D5F"/>
    <w:rsid w:val="004C5394"/>
    <w:rsid w:val="004D093B"/>
    <w:rsid w:val="004D0B40"/>
    <w:rsid w:val="004D17B6"/>
    <w:rsid w:val="004D1CB8"/>
    <w:rsid w:val="004D2CB7"/>
    <w:rsid w:val="004D3639"/>
    <w:rsid w:val="004D5310"/>
    <w:rsid w:val="004D60DC"/>
    <w:rsid w:val="004E016A"/>
    <w:rsid w:val="004E3136"/>
    <w:rsid w:val="004E57D6"/>
    <w:rsid w:val="004E79EB"/>
    <w:rsid w:val="004E7ECC"/>
    <w:rsid w:val="004F0244"/>
    <w:rsid w:val="004F190C"/>
    <w:rsid w:val="004F2485"/>
    <w:rsid w:val="00500CA3"/>
    <w:rsid w:val="00517B52"/>
    <w:rsid w:val="00524112"/>
    <w:rsid w:val="0052461E"/>
    <w:rsid w:val="00524A3B"/>
    <w:rsid w:val="005250E3"/>
    <w:rsid w:val="005269A9"/>
    <w:rsid w:val="00530444"/>
    <w:rsid w:val="00530A51"/>
    <w:rsid w:val="00532551"/>
    <w:rsid w:val="00534242"/>
    <w:rsid w:val="00536B5A"/>
    <w:rsid w:val="0053780F"/>
    <w:rsid w:val="00537A33"/>
    <w:rsid w:val="00540059"/>
    <w:rsid w:val="00540B33"/>
    <w:rsid w:val="00541E96"/>
    <w:rsid w:val="00544233"/>
    <w:rsid w:val="00546C2E"/>
    <w:rsid w:val="0054709E"/>
    <w:rsid w:val="0055132A"/>
    <w:rsid w:val="005545DC"/>
    <w:rsid w:val="0055467B"/>
    <w:rsid w:val="00556DE4"/>
    <w:rsid w:val="00560413"/>
    <w:rsid w:val="005612C2"/>
    <w:rsid w:val="00562763"/>
    <w:rsid w:val="00563EBC"/>
    <w:rsid w:val="005640E1"/>
    <w:rsid w:val="00566233"/>
    <w:rsid w:val="00567295"/>
    <w:rsid w:val="00576061"/>
    <w:rsid w:val="00581369"/>
    <w:rsid w:val="00581CAE"/>
    <w:rsid w:val="00582E8B"/>
    <w:rsid w:val="005838B6"/>
    <w:rsid w:val="00584E2E"/>
    <w:rsid w:val="00590009"/>
    <w:rsid w:val="00590FE8"/>
    <w:rsid w:val="005920A0"/>
    <w:rsid w:val="005934AA"/>
    <w:rsid w:val="00593D11"/>
    <w:rsid w:val="0059417D"/>
    <w:rsid w:val="005A10B5"/>
    <w:rsid w:val="005A1545"/>
    <w:rsid w:val="005A23EA"/>
    <w:rsid w:val="005A3C16"/>
    <w:rsid w:val="005A4E89"/>
    <w:rsid w:val="005A5050"/>
    <w:rsid w:val="005A5446"/>
    <w:rsid w:val="005B1C06"/>
    <w:rsid w:val="005B29CE"/>
    <w:rsid w:val="005B29DA"/>
    <w:rsid w:val="005B7316"/>
    <w:rsid w:val="005C0D0D"/>
    <w:rsid w:val="005C18E0"/>
    <w:rsid w:val="005C36AC"/>
    <w:rsid w:val="005C4B1E"/>
    <w:rsid w:val="005D0EC6"/>
    <w:rsid w:val="005D1A2A"/>
    <w:rsid w:val="005D233F"/>
    <w:rsid w:val="005D58ED"/>
    <w:rsid w:val="005D5D61"/>
    <w:rsid w:val="005D6139"/>
    <w:rsid w:val="005D65CE"/>
    <w:rsid w:val="005E306B"/>
    <w:rsid w:val="005E3C3B"/>
    <w:rsid w:val="005E3E1A"/>
    <w:rsid w:val="005E497B"/>
    <w:rsid w:val="005E5692"/>
    <w:rsid w:val="005E5C86"/>
    <w:rsid w:val="005E7480"/>
    <w:rsid w:val="005E74A5"/>
    <w:rsid w:val="005F0487"/>
    <w:rsid w:val="005F1933"/>
    <w:rsid w:val="005F3BE1"/>
    <w:rsid w:val="005F3DD5"/>
    <w:rsid w:val="005F5649"/>
    <w:rsid w:val="005F5F5E"/>
    <w:rsid w:val="006019FE"/>
    <w:rsid w:val="006031D7"/>
    <w:rsid w:val="00605B52"/>
    <w:rsid w:val="00605F6B"/>
    <w:rsid w:val="00611209"/>
    <w:rsid w:val="00612173"/>
    <w:rsid w:val="00612D3B"/>
    <w:rsid w:val="00620FF3"/>
    <w:rsid w:val="006222CE"/>
    <w:rsid w:val="0062534F"/>
    <w:rsid w:val="00627827"/>
    <w:rsid w:val="006278D1"/>
    <w:rsid w:val="006306DC"/>
    <w:rsid w:val="00633C21"/>
    <w:rsid w:val="006370A7"/>
    <w:rsid w:val="006373EF"/>
    <w:rsid w:val="00647A67"/>
    <w:rsid w:val="00651837"/>
    <w:rsid w:val="00651CC2"/>
    <w:rsid w:val="0065265B"/>
    <w:rsid w:val="006537B6"/>
    <w:rsid w:val="00655D41"/>
    <w:rsid w:val="006567DC"/>
    <w:rsid w:val="00662995"/>
    <w:rsid w:val="00662B2E"/>
    <w:rsid w:val="0066664F"/>
    <w:rsid w:val="006667C5"/>
    <w:rsid w:val="006725A0"/>
    <w:rsid w:val="00674400"/>
    <w:rsid w:val="00674647"/>
    <w:rsid w:val="006752B8"/>
    <w:rsid w:val="00680895"/>
    <w:rsid w:val="0068362D"/>
    <w:rsid w:val="0068393F"/>
    <w:rsid w:val="00686069"/>
    <w:rsid w:val="00690E64"/>
    <w:rsid w:val="00691C33"/>
    <w:rsid w:val="0069252D"/>
    <w:rsid w:val="00694D75"/>
    <w:rsid w:val="0069511F"/>
    <w:rsid w:val="00697AC4"/>
    <w:rsid w:val="006A081A"/>
    <w:rsid w:val="006A126B"/>
    <w:rsid w:val="006A23A4"/>
    <w:rsid w:val="006A6BEE"/>
    <w:rsid w:val="006B0E9E"/>
    <w:rsid w:val="006B1285"/>
    <w:rsid w:val="006B2324"/>
    <w:rsid w:val="006B5786"/>
    <w:rsid w:val="006B727A"/>
    <w:rsid w:val="006B782A"/>
    <w:rsid w:val="006C36B4"/>
    <w:rsid w:val="006C78BB"/>
    <w:rsid w:val="006D3C53"/>
    <w:rsid w:val="006D5396"/>
    <w:rsid w:val="006D722A"/>
    <w:rsid w:val="006D7686"/>
    <w:rsid w:val="006D7798"/>
    <w:rsid w:val="006E013D"/>
    <w:rsid w:val="006E0965"/>
    <w:rsid w:val="006E47B6"/>
    <w:rsid w:val="006F1F7B"/>
    <w:rsid w:val="00700E04"/>
    <w:rsid w:val="00701DFE"/>
    <w:rsid w:val="00702AF0"/>
    <w:rsid w:val="0070435A"/>
    <w:rsid w:val="007114EE"/>
    <w:rsid w:val="007117A4"/>
    <w:rsid w:val="0071253F"/>
    <w:rsid w:val="0071433D"/>
    <w:rsid w:val="00716804"/>
    <w:rsid w:val="007168B3"/>
    <w:rsid w:val="00721EAA"/>
    <w:rsid w:val="00721F51"/>
    <w:rsid w:val="00722A94"/>
    <w:rsid w:val="00723FA9"/>
    <w:rsid w:val="007259F8"/>
    <w:rsid w:val="00727DAA"/>
    <w:rsid w:val="0073014D"/>
    <w:rsid w:val="00730C95"/>
    <w:rsid w:val="00731202"/>
    <w:rsid w:val="007316D0"/>
    <w:rsid w:val="00731BF4"/>
    <w:rsid w:val="007323F7"/>
    <w:rsid w:val="007326F6"/>
    <w:rsid w:val="00734CC7"/>
    <w:rsid w:val="00735903"/>
    <w:rsid w:val="00737931"/>
    <w:rsid w:val="007440F8"/>
    <w:rsid w:val="00750897"/>
    <w:rsid w:val="00754BC5"/>
    <w:rsid w:val="00757D96"/>
    <w:rsid w:val="00762F17"/>
    <w:rsid w:val="00763881"/>
    <w:rsid w:val="00766982"/>
    <w:rsid w:val="00772B5F"/>
    <w:rsid w:val="00774B85"/>
    <w:rsid w:val="00777212"/>
    <w:rsid w:val="00780D93"/>
    <w:rsid w:val="00781993"/>
    <w:rsid w:val="00787063"/>
    <w:rsid w:val="007921C1"/>
    <w:rsid w:val="007930F9"/>
    <w:rsid w:val="00793529"/>
    <w:rsid w:val="00793E75"/>
    <w:rsid w:val="007943EF"/>
    <w:rsid w:val="00794995"/>
    <w:rsid w:val="007963B7"/>
    <w:rsid w:val="007A182F"/>
    <w:rsid w:val="007A49CD"/>
    <w:rsid w:val="007A6F71"/>
    <w:rsid w:val="007A761E"/>
    <w:rsid w:val="007A786E"/>
    <w:rsid w:val="007B041B"/>
    <w:rsid w:val="007B0884"/>
    <w:rsid w:val="007B2C49"/>
    <w:rsid w:val="007B3738"/>
    <w:rsid w:val="007B5D71"/>
    <w:rsid w:val="007B706C"/>
    <w:rsid w:val="007C40DD"/>
    <w:rsid w:val="007D1A1A"/>
    <w:rsid w:val="007D287C"/>
    <w:rsid w:val="007D4A9F"/>
    <w:rsid w:val="007D5095"/>
    <w:rsid w:val="007D7EC3"/>
    <w:rsid w:val="007D7F23"/>
    <w:rsid w:val="007E0935"/>
    <w:rsid w:val="007E257E"/>
    <w:rsid w:val="007E3303"/>
    <w:rsid w:val="007E3382"/>
    <w:rsid w:val="007F137D"/>
    <w:rsid w:val="007F2698"/>
    <w:rsid w:val="007F3DCA"/>
    <w:rsid w:val="007F56B9"/>
    <w:rsid w:val="008006DA"/>
    <w:rsid w:val="00807842"/>
    <w:rsid w:val="00807F27"/>
    <w:rsid w:val="008109BF"/>
    <w:rsid w:val="00815A1C"/>
    <w:rsid w:val="00820D8C"/>
    <w:rsid w:val="008248A6"/>
    <w:rsid w:val="00826984"/>
    <w:rsid w:val="00826B3E"/>
    <w:rsid w:val="00826CE5"/>
    <w:rsid w:val="00827463"/>
    <w:rsid w:val="00831052"/>
    <w:rsid w:val="00832C0B"/>
    <w:rsid w:val="00834705"/>
    <w:rsid w:val="00834BE4"/>
    <w:rsid w:val="0084139A"/>
    <w:rsid w:val="00845C2C"/>
    <w:rsid w:val="008460C3"/>
    <w:rsid w:val="00847A82"/>
    <w:rsid w:val="008533FF"/>
    <w:rsid w:val="00855DCF"/>
    <w:rsid w:val="0086016C"/>
    <w:rsid w:val="00860EC1"/>
    <w:rsid w:val="00861E08"/>
    <w:rsid w:val="00861EC4"/>
    <w:rsid w:val="00862ED4"/>
    <w:rsid w:val="008632EC"/>
    <w:rsid w:val="00863D50"/>
    <w:rsid w:val="00866E3F"/>
    <w:rsid w:val="008718BF"/>
    <w:rsid w:val="0087365F"/>
    <w:rsid w:val="0087527C"/>
    <w:rsid w:val="00875B2D"/>
    <w:rsid w:val="008775E0"/>
    <w:rsid w:val="00880B54"/>
    <w:rsid w:val="00880DF3"/>
    <w:rsid w:val="00881EE9"/>
    <w:rsid w:val="008839B9"/>
    <w:rsid w:val="00884912"/>
    <w:rsid w:val="0088687E"/>
    <w:rsid w:val="0089528E"/>
    <w:rsid w:val="00897AE8"/>
    <w:rsid w:val="008A0714"/>
    <w:rsid w:val="008A39CC"/>
    <w:rsid w:val="008A7D17"/>
    <w:rsid w:val="008B15E6"/>
    <w:rsid w:val="008B1E09"/>
    <w:rsid w:val="008B2308"/>
    <w:rsid w:val="008B2B7C"/>
    <w:rsid w:val="008B4096"/>
    <w:rsid w:val="008B688B"/>
    <w:rsid w:val="008D2826"/>
    <w:rsid w:val="008D34C4"/>
    <w:rsid w:val="008D51A0"/>
    <w:rsid w:val="008D541C"/>
    <w:rsid w:val="008D5A11"/>
    <w:rsid w:val="008D6710"/>
    <w:rsid w:val="008D6E78"/>
    <w:rsid w:val="008E1264"/>
    <w:rsid w:val="008E1D88"/>
    <w:rsid w:val="008E2BEB"/>
    <w:rsid w:val="008E2BFD"/>
    <w:rsid w:val="008E34DB"/>
    <w:rsid w:val="008E46AD"/>
    <w:rsid w:val="008E6CDA"/>
    <w:rsid w:val="008F02E1"/>
    <w:rsid w:val="008F2D68"/>
    <w:rsid w:val="008F4391"/>
    <w:rsid w:val="008F78D2"/>
    <w:rsid w:val="00900BCB"/>
    <w:rsid w:val="00901B9B"/>
    <w:rsid w:val="0090338B"/>
    <w:rsid w:val="00903909"/>
    <w:rsid w:val="00903DA6"/>
    <w:rsid w:val="00904212"/>
    <w:rsid w:val="0090515F"/>
    <w:rsid w:val="009060EE"/>
    <w:rsid w:val="00907502"/>
    <w:rsid w:val="00910570"/>
    <w:rsid w:val="00910EE0"/>
    <w:rsid w:val="0091102A"/>
    <w:rsid w:val="00912184"/>
    <w:rsid w:val="009123B5"/>
    <w:rsid w:val="00912E4E"/>
    <w:rsid w:val="00917289"/>
    <w:rsid w:val="009204D0"/>
    <w:rsid w:val="00924A0B"/>
    <w:rsid w:val="009253A2"/>
    <w:rsid w:val="00925486"/>
    <w:rsid w:val="009258A5"/>
    <w:rsid w:val="0092674C"/>
    <w:rsid w:val="00930F10"/>
    <w:rsid w:val="00931FC5"/>
    <w:rsid w:val="00932732"/>
    <w:rsid w:val="00933AF5"/>
    <w:rsid w:val="00936B8B"/>
    <w:rsid w:val="00937BF4"/>
    <w:rsid w:val="00941CAE"/>
    <w:rsid w:val="009461A3"/>
    <w:rsid w:val="00946312"/>
    <w:rsid w:val="009541BF"/>
    <w:rsid w:val="00955F8B"/>
    <w:rsid w:val="00960DC5"/>
    <w:rsid w:val="00961625"/>
    <w:rsid w:val="00961DAF"/>
    <w:rsid w:val="0096242F"/>
    <w:rsid w:val="0096442D"/>
    <w:rsid w:val="00964D6F"/>
    <w:rsid w:val="00966A00"/>
    <w:rsid w:val="00967965"/>
    <w:rsid w:val="009721A5"/>
    <w:rsid w:val="00972A27"/>
    <w:rsid w:val="00972E3E"/>
    <w:rsid w:val="009746A0"/>
    <w:rsid w:val="00977A4C"/>
    <w:rsid w:val="009810D7"/>
    <w:rsid w:val="009820A3"/>
    <w:rsid w:val="00984A1E"/>
    <w:rsid w:val="00984B15"/>
    <w:rsid w:val="00986182"/>
    <w:rsid w:val="00986C3F"/>
    <w:rsid w:val="00990105"/>
    <w:rsid w:val="00990E56"/>
    <w:rsid w:val="0099370B"/>
    <w:rsid w:val="00997AFF"/>
    <w:rsid w:val="009A10E0"/>
    <w:rsid w:val="009A18E4"/>
    <w:rsid w:val="009A2A03"/>
    <w:rsid w:val="009A4CB0"/>
    <w:rsid w:val="009A5F71"/>
    <w:rsid w:val="009A6934"/>
    <w:rsid w:val="009A6F79"/>
    <w:rsid w:val="009B16D3"/>
    <w:rsid w:val="009B411F"/>
    <w:rsid w:val="009B6645"/>
    <w:rsid w:val="009B7053"/>
    <w:rsid w:val="009C02FE"/>
    <w:rsid w:val="009C0549"/>
    <w:rsid w:val="009C6399"/>
    <w:rsid w:val="009C75C0"/>
    <w:rsid w:val="009D0096"/>
    <w:rsid w:val="009D5124"/>
    <w:rsid w:val="009D7451"/>
    <w:rsid w:val="009D7E31"/>
    <w:rsid w:val="009E0345"/>
    <w:rsid w:val="009E30C4"/>
    <w:rsid w:val="009E3352"/>
    <w:rsid w:val="009E5CE6"/>
    <w:rsid w:val="009E6FC1"/>
    <w:rsid w:val="009F1DF1"/>
    <w:rsid w:val="009F25F2"/>
    <w:rsid w:val="009F359E"/>
    <w:rsid w:val="009F3D89"/>
    <w:rsid w:val="009F6AFC"/>
    <w:rsid w:val="00A0015B"/>
    <w:rsid w:val="00A004BF"/>
    <w:rsid w:val="00A0159E"/>
    <w:rsid w:val="00A034D9"/>
    <w:rsid w:val="00A102A9"/>
    <w:rsid w:val="00A16F8C"/>
    <w:rsid w:val="00A240BF"/>
    <w:rsid w:val="00A25562"/>
    <w:rsid w:val="00A25C14"/>
    <w:rsid w:val="00A33FB6"/>
    <w:rsid w:val="00A34B28"/>
    <w:rsid w:val="00A407EE"/>
    <w:rsid w:val="00A419EE"/>
    <w:rsid w:val="00A41AC4"/>
    <w:rsid w:val="00A42189"/>
    <w:rsid w:val="00A42721"/>
    <w:rsid w:val="00A43351"/>
    <w:rsid w:val="00A443EF"/>
    <w:rsid w:val="00A46F25"/>
    <w:rsid w:val="00A47695"/>
    <w:rsid w:val="00A502FA"/>
    <w:rsid w:val="00A50F2C"/>
    <w:rsid w:val="00A53FF7"/>
    <w:rsid w:val="00A57B83"/>
    <w:rsid w:val="00A610D9"/>
    <w:rsid w:val="00A61C3E"/>
    <w:rsid w:val="00A61D70"/>
    <w:rsid w:val="00A61FD6"/>
    <w:rsid w:val="00A656EA"/>
    <w:rsid w:val="00A728C4"/>
    <w:rsid w:val="00A75548"/>
    <w:rsid w:val="00A86077"/>
    <w:rsid w:val="00A92942"/>
    <w:rsid w:val="00A93488"/>
    <w:rsid w:val="00AA19AC"/>
    <w:rsid w:val="00AB04C2"/>
    <w:rsid w:val="00AB10A3"/>
    <w:rsid w:val="00AB634B"/>
    <w:rsid w:val="00AB66CD"/>
    <w:rsid w:val="00AB6EAA"/>
    <w:rsid w:val="00AB70F3"/>
    <w:rsid w:val="00AB7388"/>
    <w:rsid w:val="00AC63B5"/>
    <w:rsid w:val="00AD2ECF"/>
    <w:rsid w:val="00AD5517"/>
    <w:rsid w:val="00AE047A"/>
    <w:rsid w:val="00AE1DC0"/>
    <w:rsid w:val="00AE5910"/>
    <w:rsid w:val="00AE59FD"/>
    <w:rsid w:val="00AE7444"/>
    <w:rsid w:val="00AF2D91"/>
    <w:rsid w:val="00AF3B01"/>
    <w:rsid w:val="00AF41CF"/>
    <w:rsid w:val="00AF4B62"/>
    <w:rsid w:val="00B00AB5"/>
    <w:rsid w:val="00B00FA7"/>
    <w:rsid w:val="00B01B9E"/>
    <w:rsid w:val="00B01D08"/>
    <w:rsid w:val="00B03558"/>
    <w:rsid w:val="00B041F5"/>
    <w:rsid w:val="00B04DE2"/>
    <w:rsid w:val="00B17497"/>
    <w:rsid w:val="00B17C52"/>
    <w:rsid w:val="00B20176"/>
    <w:rsid w:val="00B2042E"/>
    <w:rsid w:val="00B25F90"/>
    <w:rsid w:val="00B30B0C"/>
    <w:rsid w:val="00B31163"/>
    <w:rsid w:val="00B31856"/>
    <w:rsid w:val="00B35594"/>
    <w:rsid w:val="00B36C62"/>
    <w:rsid w:val="00B407CB"/>
    <w:rsid w:val="00B40D1C"/>
    <w:rsid w:val="00B41CD9"/>
    <w:rsid w:val="00B41FE5"/>
    <w:rsid w:val="00B427E8"/>
    <w:rsid w:val="00B467B2"/>
    <w:rsid w:val="00B4728B"/>
    <w:rsid w:val="00B47B62"/>
    <w:rsid w:val="00B5047D"/>
    <w:rsid w:val="00B513B3"/>
    <w:rsid w:val="00B56FC6"/>
    <w:rsid w:val="00B606A1"/>
    <w:rsid w:val="00B60724"/>
    <w:rsid w:val="00B61524"/>
    <w:rsid w:val="00B64731"/>
    <w:rsid w:val="00B66DA8"/>
    <w:rsid w:val="00B6753C"/>
    <w:rsid w:val="00B678DD"/>
    <w:rsid w:val="00B71223"/>
    <w:rsid w:val="00B745F4"/>
    <w:rsid w:val="00B76096"/>
    <w:rsid w:val="00B7647B"/>
    <w:rsid w:val="00B7762B"/>
    <w:rsid w:val="00B80575"/>
    <w:rsid w:val="00B85A88"/>
    <w:rsid w:val="00B9392E"/>
    <w:rsid w:val="00B97E7F"/>
    <w:rsid w:val="00BA0339"/>
    <w:rsid w:val="00BA442D"/>
    <w:rsid w:val="00BA49BA"/>
    <w:rsid w:val="00BA4CC7"/>
    <w:rsid w:val="00BA7242"/>
    <w:rsid w:val="00BB3916"/>
    <w:rsid w:val="00BB3C3F"/>
    <w:rsid w:val="00BB4702"/>
    <w:rsid w:val="00BB7553"/>
    <w:rsid w:val="00BC1319"/>
    <w:rsid w:val="00BC170B"/>
    <w:rsid w:val="00BC2284"/>
    <w:rsid w:val="00BC452D"/>
    <w:rsid w:val="00BC6914"/>
    <w:rsid w:val="00BD16BC"/>
    <w:rsid w:val="00BD1F0A"/>
    <w:rsid w:val="00BE1205"/>
    <w:rsid w:val="00BE4F45"/>
    <w:rsid w:val="00BE6027"/>
    <w:rsid w:val="00BE6AE5"/>
    <w:rsid w:val="00BE7A5B"/>
    <w:rsid w:val="00BF0930"/>
    <w:rsid w:val="00BF09E3"/>
    <w:rsid w:val="00BF1CAC"/>
    <w:rsid w:val="00BF4FC4"/>
    <w:rsid w:val="00BF5582"/>
    <w:rsid w:val="00BF7966"/>
    <w:rsid w:val="00C0027D"/>
    <w:rsid w:val="00C00C54"/>
    <w:rsid w:val="00C02949"/>
    <w:rsid w:val="00C058D3"/>
    <w:rsid w:val="00C10C99"/>
    <w:rsid w:val="00C11CAD"/>
    <w:rsid w:val="00C225BE"/>
    <w:rsid w:val="00C25544"/>
    <w:rsid w:val="00C25D7D"/>
    <w:rsid w:val="00C26B18"/>
    <w:rsid w:val="00C27035"/>
    <w:rsid w:val="00C27576"/>
    <w:rsid w:val="00C30D69"/>
    <w:rsid w:val="00C3262C"/>
    <w:rsid w:val="00C330C0"/>
    <w:rsid w:val="00C3347B"/>
    <w:rsid w:val="00C33DF7"/>
    <w:rsid w:val="00C35434"/>
    <w:rsid w:val="00C37109"/>
    <w:rsid w:val="00C40DCB"/>
    <w:rsid w:val="00C423A1"/>
    <w:rsid w:val="00C50EC9"/>
    <w:rsid w:val="00C52DD3"/>
    <w:rsid w:val="00C52F48"/>
    <w:rsid w:val="00C6104D"/>
    <w:rsid w:val="00C62480"/>
    <w:rsid w:val="00C6501D"/>
    <w:rsid w:val="00C7028C"/>
    <w:rsid w:val="00C75629"/>
    <w:rsid w:val="00C76301"/>
    <w:rsid w:val="00C82294"/>
    <w:rsid w:val="00C85C43"/>
    <w:rsid w:val="00C85CD9"/>
    <w:rsid w:val="00C86A70"/>
    <w:rsid w:val="00C86C24"/>
    <w:rsid w:val="00C877BD"/>
    <w:rsid w:val="00C92085"/>
    <w:rsid w:val="00C92339"/>
    <w:rsid w:val="00C92654"/>
    <w:rsid w:val="00C933AE"/>
    <w:rsid w:val="00C97F8D"/>
    <w:rsid w:val="00CA0F1A"/>
    <w:rsid w:val="00CA1A6D"/>
    <w:rsid w:val="00CA1B9C"/>
    <w:rsid w:val="00CA22C1"/>
    <w:rsid w:val="00CA35DE"/>
    <w:rsid w:val="00CA4306"/>
    <w:rsid w:val="00CA6CB7"/>
    <w:rsid w:val="00CB0BFE"/>
    <w:rsid w:val="00CB141D"/>
    <w:rsid w:val="00CB2EC4"/>
    <w:rsid w:val="00CB31B2"/>
    <w:rsid w:val="00CB3948"/>
    <w:rsid w:val="00CB48BB"/>
    <w:rsid w:val="00CB795E"/>
    <w:rsid w:val="00CC26B1"/>
    <w:rsid w:val="00CC3747"/>
    <w:rsid w:val="00CC3863"/>
    <w:rsid w:val="00CC3E79"/>
    <w:rsid w:val="00CC516B"/>
    <w:rsid w:val="00CD09CA"/>
    <w:rsid w:val="00CD0A5C"/>
    <w:rsid w:val="00CD13E7"/>
    <w:rsid w:val="00CD1780"/>
    <w:rsid w:val="00CD1CA2"/>
    <w:rsid w:val="00CD75FF"/>
    <w:rsid w:val="00CE304E"/>
    <w:rsid w:val="00CE308B"/>
    <w:rsid w:val="00CE449E"/>
    <w:rsid w:val="00CE6A13"/>
    <w:rsid w:val="00CE79C5"/>
    <w:rsid w:val="00CE7EBC"/>
    <w:rsid w:val="00CF19D1"/>
    <w:rsid w:val="00CF2735"/>
    <w:rsid w:val="00CF2747"/>
    <w:rsid w:val="00CF5E06"/>
    <w:rsid w:val="00D00B82"/>
    <w:rsid w:val="00D01FE7"/>
    <w:rsid w:val="00D048F7"/>
    <w:rsid w:val="00D04B68"/>
    <w:rsid w:val="00D04D1D"/>
    <w:rsid w:val="00D07BC5"/>
    <w:rsid w:val="00D1120A"/>
    <w:rsid w:val="00D11757"/>
    <w:rsid w:val="00D121D9"/>
    <w:rsid w:val="00D13F66"/>
    <w:rsid w:val="00D15316"/>
    <w:rsid w:val="00D155A6"/>
    <w:rsid w:val="00D17477"/>
    <w:rsid w:val="00D17E69"/>
    <w:rsid w:val="00D20086"/>
    <w:rsid w:val="00D23B4F"/>
    <w:rsid w:val="00D2656E"/>
    <w:rsid w:val="00D2763B"/>
    <w:rsid w:val="00D34D73"/>
    <w:rsid w:val="00D40219"/>
    <w:rsid w:val="00D41E91"/>
    <w:rsid w:val="00D44509"/>
    <w:rsid w:val="00D47F93"/>
    <w:rsid w:val="00D52EC4"/>
    <w:rsid w:val="00D5412F"/>
    <w:rsid w:val="00D55BF4"/>
    <w:rsid w:val="00D55E4A"/>
    <w:rsid w:val="00D601CF"/>
    <w:rsid w:val="00D62AAB"/>
    <w:rsid w:val="00D650D7"/>
    <w:rsid w:val="00D66641"/>
    <w:rsid w:val="00D70045"/>
    <w:rsid w:val="00D72298"/>
    <w:rsid w:val="00D73833"/>
    <w:rsid w:val="00D77C10"/>
    <w:rsid w:val="00D85325"/>
    <w:rsid w:val="00D86E6A"/>
    <w:rsid w:val="00D902D5"/>
    <w:rsid w:val="00D925B0"/>
    <w:rsid w:val="00D952C2"/>
    <w:rsid w:val="00D96C66"/>
    <w:rsid w:val="00DA2D37"/>
    <w:rsid w:val="00DA41F3"/>
    <w:rsid w:val="00DA4915"/>
    <w:rsid w:val="00DA57AC"/>
    <w:rsid w:val="00DA5993"/>
    <w:rsid w:val="00DA6CFC"/>
    <w:rsid w:val="00DA7571"/>
    <w:rsid w:val="00DB0A64"/>
    <w:rsid w:val="00DB1D66"/>
    <w:rsid w:val="00DB28F6"/>
    <w:rsid w:val="00DB4324"/>
    <w:rsid w:val="00DC011A"/>
    <w:rsid w:val="00DC0FB5"/>
    <w:rsid w:val="00DC1AE7"/>
    <w:rsid w:val="00DC291E"/>
    <w:rsid w:val="00DC3AA7"/>
    <w:rsid w:val="00DC3AB2"/>
    <w:rsid w:val="00DC59A4"/>
    <w:rsid w:val="00DC5D67"/>
    <w:rsid w:val="00DD310E"/>
    <w:rsid w:val="00DD4AF2"/>
    <w:rsid w:val="00DD500C"/>
    <w:rsid w:val="00DD57E8"/>
    <w:rsid w:val="00DD7295"/>
    <w:rsid w:val="00DE0BFB"/>
    <w:rsid w:val="00DE2D41"/>
    <w:rsid w:val="00DE317B"/>
    <w:rsid w:val="00DE68FE"/>
    <w:rsid w:val="00DF022B"/>
    <w:rsid w:val="00DF305E"/>
    <w:rsid w:val="00E01B22"/>
    <w:rsid w:val="00E01C47"/>
    <w:rsid w:val="00E0403A"/>
    <w:rsid w:val="00E07591"/>
    <w:rsid w:val="00E11F2B"/>
    <w:rsid w:val="00E121CB"/>
    <w:rsid w:val="00E12797"/>
    <w:rsid w:val="00E14CD7"/>
    <w:rsid w:val="00E1667A"/>
    <w:rsid w:val="00E17095"/>
    <w:rsid w:val="00E20F7E"/>
    <w:rsid w:val="00E2126B"/>
    <w:rsid w:val="00E239B3"/>
    <w:rsid w:val="00E2479A"/>
    <w:rsid w:val="00E24BCF"/>
    <w:rsid w:val="00E2616C"/>
    <w:rsid w:val="00E2694B"/>
    <w:rsid w:val="00E32B12"/>
    <w:rsid w:val="00E343CC"/>
    <w:rsid w:val="00E34443"/>
    <w:rsid w:val="00E35A72"/>
    <w:rsid w:val="00E406AA"/>
    <w:rsid w:val="00E43F1B"/>
    <w:rsid w:val="00E46161"/>
    <w:rsid w:val="00E46297"/>
    <w:rsid w:val="00E4692B"/>
    <w:rsid w:val="00E46DDC"/>
    <w:rsid w:val="00E52A6D"/>
    <w:rsid w:val="00E550B4"/>
    <w:rsid w:val="00E55E60"/>
    <w:rsid w:val="00E56817"/>
    <w:rsid w:val="00E56E03"/>
    <w:rsid w:val="00E57E3B"/>
    <w:rsid w:val="00E6076C"/>
    <w:rsid w:val="00E619C0"/>
    <w:rsid w:val="00E61BF9"/>
    <w:rsid w:val="00E649EA"/>
    <w:rsid w:val="00E64FD9"/>
    <w:rsid w:val="00E66105"/>
    <w:rsid w:val="00E66DED"/>
    <w:rsid w:val="00E75E01"/>
    <w:rsid w:val="00E7697A"/>
    <w:rsid w:val="00E80A8D"/>
    <w:rsid w:val="00E819DC"/>
    <w:rsid w:val="00E866FC"/>
    <w:rsid w:val="00E86C05"/>
    <w:rsid w:val="00E8754E"/>
    <w:rsid w:val="00E91BD9"/>
    <w:rsid w:val="00E91D33"/>
    <w:rsid w:val="00E920B3"/>
    <w:rsid w:val="00E92CD7"/>
    <w:rsid w:val="00E9328E"/>
    <w:rsid w:val="00E941C5"/>
    <w:rsid w:val="00E95CAA"/>
    <w:rsid w:val="00EA4F1B"/>
    <w:rsid w:val="00EB490B"/>
    <w:rsid w:val="00EB5730"/>
    <w:rsid w:val="00EB58C7"/>
    <w:rsid w:val="00EB65A3"/>
    <w:rsid w:val="00EC0408"/>
    <w:rsid w:val="00EC4DDE"/>
    <w:rsid w:val="00EC5343"/>
    <w:rsid w:val="00EC757A"/>
    <w:rsid w:val="00EC7E8A"/>
    <w:rsid w:val="00ED1536"/>
    <w:rsid w:val="00ED154A"/>
    <w:rsid w:val="00ED1798"/>
    <w:rsid w:val="00ED4FC3"/>
    <w:rsid w:val="00ED7C1F"/>
    <w:rsid w:val="00EE0403"/>
    <w:rsid w:val="00EE177B"/>
    <w:rsid w:val="00EE1A17"/>
    <w:rsid w:val="00EE3891"/>
    <w:rsid w:val="00EE3DFD"/>
    <w:rsid w:val="00EE6761"/>
    <w:rsid w:val="00EF2511"/>
    <w:rsid w:val="00EF39A5"/>
    <w:rsid w:val="00EF51CB"/>
    <w:rsid w:val="00EF7F64"/>
    <w:rsid w:val="00F05D18"/>
    <w:rsid w:val="00F12129"/>
    <w:rsid w:val="00F123A5"/>
    <w:rsid w:val="00F13EB0"/>
    <w:rsid w:val="00F1626B"/>
    <w:rsid w:val="00F20FA7"/>
    <w:rsid w:val="00F214F3"/>
    <w:rsid w:val="00F225C3"/>
    <w:rsid w:val="00F22690"/>
    <w:rsid w:val="00F22E22"/>
    <w:rsid w:val="00F23810"/>
    <w:rsid w:val="00F25DAC"/>
    <w:rsid w:val="00F26177"/>
    <w:rsid w:val="00F27E0C"/>
    <w:rsid w:val="00F35DE3"/>
    <w:rsid w:val="00F42E01"/>
    <w:rsid w:val="00F433C6"/>
    <w:rsid w:val="00F44256"/>
    <w:rsid w:val="00F44792"/>
    <w:rsid w:val="00F47CA2"/>
    <w:rsid w:val="00F54D29"/>
    <w:rsid w:val="00F55A0B"/>
    <w:rsid w:val="00F57D0B"/>
    <w:rsid w:val="00F61444"/>
    <w:rsid w:val="00F61F97"/>
    <w:rsid w:val="00F62B81"/>
    <w:rsid w:val="00F62DF6"/>
    <w:rsid w:val="00F633E4"/>
    <w:rsid w:val="00F63E52"/>
    <w:rsid w:val="00F7079D"/>
    <w:rsid w:val="00F7585E"/>
    <w:rsid w:val="00F770A0"/>
    <w:rsid w:val="00F774DB"/>
    <w:rsid w:val="00F93820"/>
    <w:rsid w:val="00F97112"/>
    <w:rsid w:val="00FA098C"/>
    <w:rsid w:val="00FA5DE3"/>
    <w:rsid w:val="00FA79C4"/>
    <w:rsid w:val="00FA7F9D"/>
    <w:rsid w:val="00FB193D"/>
    <w:rsid w:val="00FB23B5"/>
    <w:rsid w:val="00FB4821"/>
    <w:rsid w:val="00FB6608"/>
    <w:rsid w:val="00FB6C14"/>
    <w:rsid w:val="00FC159B"/>
    <w:rsid w:val="00FC1F86"/>
    <w:rsid w:val="00FC4B3C"/>
    <w:rsid w:val="00FD4715"/>
    <w:rsid w:val="00FD47C4"/>
    <w:rsid w:val="00FD6049"/>
    <w:rsid w:val="00FD7315"/>
    <w:rsid w:val="00FE0CAE"/>
    <w:rsid w:val="00FE166A"/>
    <w:rsid w:val="00FE4674"/>
    <w:rsid w:val="00FF1EE0"/>
    <w:rsid w:val="00FF3AF1"/>
    <w:rsid w:val="00FF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84FFF"/>
  <w15:docId w15:val="{672353D8-14D3-47E9-BE84-34FF3AFBB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810D7"/>
    <w:pPr>
      <w:spacing w:after="0" w:line="240" w:lineRule="auto"/>
    </w:pPr>
    <w:rPr>
      <w:rFonts w:ascii="Arial" w:eastAsia="Times New Roman" w:hAnsi="Arial" w:cs="Arial"/>
      <w:bCs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9810D7"/>
    <w:pPr>
      <w:keepNext/>
      <w:spacing w:before="240" w:after="60"/>
      <w:outlineLvl w:val="0"/>
    </w:pPr>
    <w:rPr>
      <w:b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9810D7"/>
    <w:pPr>
      <w:keepNext/>
      <w:spacing w:before="240" w:after="60"/>
      <w:outlineLvl w:val="1"/>
    </w:pPr>
    <w:rPr>
      <w:b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9810D7"/>
    <w:pPr>
      <w:keepNext/>
      <w:spacing w:before="240" w:after="60"/>
      <w:outlineLvl w:val="2"/>
    </w:pPr>
    <w:rPr>
      <w:b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rsid w:val="009810D7"/>
    <w:pPr>
      <w:keepNext/>
      <w:spacing w:before="240" w:after="60"/>
      <w:outlineLvl w:val="3"/>
    </w:pPr>
    <w:rPr>
      <w:rFonts w:ascii="Times New Roman" w:hAnsi="Times New Roman" w:cs="Times New Roman"/>
      <w:b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9810D7"/>
    <w:pPr>
      <w:keepNext/>
      <w:jc w:val="center"/>
      <w:outlineLvl w:val="4"/>
    </w:pPr>
    <w:rPr>
      <w:rFonts w:cs="Times New Roman"/>
      <w:b/>
    </w:rPr>
  </w:style>
  <w:style w:type="paragraph" w:styleId="Nadpis7">
    <w:name w:val="heading 7"/>
    <w:basedOn w:val="Normlny"/>
    <w:next w:val="Normlny"/>
    <w:link w:val="Nadpis7Char"/>
    <w:qFormat/>
    <w:rsid w:val="009810D7"/>
    <w:pPr>
      <w:spacing w:before="240" w:after="60"/>
      <w:outlineLvl w:val="6"/>
    </w:pPr>
    <w:rPr>
      <w:rFonts w:ascii="Times New Roman" w:hAnsi="Times New Roman" w:cs="Times New Roman"/>
    </w:rPr>
  </w:style>
  <w:style w:type="paragraph" w:styleId="Nadpis9">
    <w:name w:val="heading 9"/>
    <w:basedOn w:val="Normlny"/>
    <w:next w:val="Normlny"/>
    <w:link w:val="Nadpis9Char"/>
    <w:qFormat/>
    <w:rsid w:val="009810D7"/>
    <w:pPr>
      <w:spacing w:before="240" w:after="60"/>
      <w:outlineLvl w:val="8"/>
    </w:pPr>
    <w:rPr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9810D7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9810D7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rsid w:val="009810D7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rsid w:val="009810D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rsid w:val="009810D7"/>
    <w:rPr>
      <w:rFonts w:ascii="Arial" w:eastAsia="Times New Roman" w:hAnsi="Arial" w:cs="Times New Roman"/>
      <w:b/>
      <w:bCs/>
      <w:sz w:val="24"/>
      <w:szCs w:val="24"/>
      <w:lang w:eastAsia="cs-CZ"/>
    </w:rPr>
  </w:style>
  <w:style w:type="character" w:customStyle="1" w:styleId="Nadpis7Char">
    <w:name w:val="Nadpis 7 Char"/>
    <w:basedOn w:val="Predvolenpsmoodseku"/>
    <w:link w:val="Nadpis7"/>
    <w:rsid w:val="009810D7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character" w:customStyle="1" w:styleId="Nadpis9Char">
    <w:name w:val="Nadpis 9 Char"/>
    <w:basedOn w:val="Predvolenpsmoodseku"/>
    <w:link w:val="Nadpis9"/>
    <w:rsid w:val="009810D7"/>
    <w:rPr>
      <w:rFonts w:ascii="Arial" w:eastAsia="Times New Roman" w:hAnsi="Arial" w:cs="Arial"/>
      <w:bCs/>
      <w:lang w:eastAsia="cs-CZ"/>
    </w:rPr>
  </w:style>
  <w:style w:type="paragraph" w:styleId="Zarkazkladnhotextu">
    <w:name w:val="Body Text Indent"/>
    <w:basedOn w:val="Normlny"/>
    <w:link w:val="ZarkazkladnhotextuChar"/>
    <w:rsid w:val="009810D7"/>
    <w:pPr>
      <w:ind w:firstLine="708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9810D7"/>
    <w:rPr>
      <w:rFonts w:ascii="Arial" w:eastAsia="Times New Roman" w:hAnsi="Arial" w:cs="Arial"/>
      <w:bCs/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rsid w:val="009810D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9810D7"/>
    <w:rPr>
      <w:rFonts w:ascii="Arial" w:eastAsia="Times New Roman" w:hAnsi="Arial" w:cs="Arial"/>
      <w:bCs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rsid w:val="009810D7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9810D7"/>
    <w:rPr>
      <w:rFonts w:ascii="Arial" w:eastAsia="Times New Roman" w:hAnsi="Arial" w:cs="Arial"/>
      <w:bCs/>
      <w:sz w:val="16"/>
      <w:szCs w:val="16"/>
      <w:lang w:eastAsia="cs-CZ"/>
    </w:rPr>
  </w:style>
  <w:style w:type="paragraph" w:styleId="Zkladntext">
    <w:name w:val="Body Text"/>
    <w:basedOn w:val="Normlny"/>
    <w:link w:val="ZkladntextChar"/>
    <w:rsid w:val="009810D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9810D7"/>
    <w:rPr>
      <w:rFonts w:ascii="Arial" w:eastAsia="Times New Roman" w:hAnsi="Arial" w:cs="Arial"/>
      <w:bCs/>
      <w:sz w:val="24"/>
      <w:szCs w:val="24"/>
      <w:lang w:eastAsia="cs-CZ"/>
    </w:rPr>
  </w:style>
  <w:style w:type="paragraph" w:styleId="Zkladntext2">
    <w:name w:val="Body Text 2"/>
    <w:basedOn w:val="Normlny"/>
    <w:link w:val="Zkladntext2Char"/>
    <w:rsid w:val="009810D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9810D7"/>
    <w:rPr>
      <w:rFonts w:ascii="Arial" w:eastAsia="Times New Roman" w:hAnsi="Arial" w:cs="Arial"/>
      <w:bCs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rsid w:val="009810D7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9810D7"/>
    <w:rPr>
      <w:rFonts w:ascii="Arial" w:eastAsia="Times New Roman" w:hAnsi="Arial" w:cs="Arial"/>
      <w:bCs/>
      <w:sz w:val="16"/>
      <w:szCs w:val="16"/>
      <w:lang w:eastAsia="cs-CZ"/>
    </w:rPr>
  </w:style>
  <w:style w:type="paragraph" w:styleId="Pta">
    <w:name w:val="footer"/>
    <w:basedOn w:val="Normlny"/>
    <w:link w:val="PtaChar"/>
    <w:rsid w:val="009810D7"/>
    <w:pPr>
      <w:tabs>
        <w:tab w:val="center" w:pos="4536"/>
        <w:tab w:val="right" w:pos="9072"/>
      </w:tabs>
    </w:pPr>
    <w:rPr>
      <w:rFonts w:ascii="Times New Roman" w:hAnsi="Times New Roman" w:cs="Times New Roman"/>
      <w:bCs w:val="0"/>
    </w:rPr>
  </w:style>
  <w:style w:type="character" w:customStyle="1" w:styleId="PtaChar">
    <w:name w:val="Päta Char"/>
    <w:basedOn w:val="Predvolenpsmoodseku"/>
    <w:link w:val="Pta"/>
    <w:rsid w:val="009810D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pis">
    <w:name w:val="caption"/>
    <w:basedOn w:val="Normlny"/>
    <w:next w:val="Normlny"/>
    <w:qFormat/>
    <w:rsid w:val="009810D7"/>
    <w:pPr>
      <w:jc w:val="both"/>
    </w:pPr>
    <w:rPr>
      <w:b/>
      <w:bCs w:val="0"/>
      <w:color w:val="3366FF"/>
    </w:rPr>
  </w:style>
  <w:style w:type="character" w:styleId="slostrany">
    <w:name w:val="page number"/>
    <w:rsid w:val="009810D7"/>
    <w:rPr>
      <w:rFonts w:cs="Times New Roman"/>
    </w:rPr>
  </w:style>
  <w:style w:type="paragraph" w:styleId="Textpoznmkypodiarou">
    <w:name w:val="footnote text"/>
    <w:basedOn w:val="Normlny"/>
    <w:link w:val="TextpoznmkypodiarouChar"/>
    <w:semiHidden/>
    <w:rsid w:val="009810D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9810D7"/>
    <w:rPr>
      <w:rFonts w:ascii="Arial" w:eastAsia="Times New Roman" w:hAnsi="Arial" w:cs="Arial"/>
      <w:bCs/>
      <w:sz w:val="20"/>
      <w:szCs w:val="20"/>
      <w:lang w:eastAsia="cs-CZ"/>
    </w:rPr>
  </w:style>
  <w:style w:type="character" w:styleId="Odkaznapoznmkupodiarou">
    <w:name w:val="footnote reference"/>
    <w:semiHidden/>
    <w:rsid w:val="009810D7"/>
    <w:rPr>
      <w:vertAlign w:val="superscript"/>
    </w:rPr>
  </w:style>
  <w:style w:type="table" w:styleId="Mriekatabuky">
    <w:name w:val="Table Grid"/>
    <w:basedOn w:val="Normlnatabuka"/>
    <w:rsid w:val="00981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semiHidden/>
    <w:rsid w:val="009810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semiHidden/>
    <w:rsid w:val="009810D7"/>
    <w:rPr>
      <w:rFonts w:ascii="Tahoma" w:eastAsia="Times New Roman" w:hAnsi="Tahoma" w:cs="Tahoma"/>
      <w:bCs/>
      <w:sz w:val="16"/>
      <w:szCs w:val="16"/>
      <w:lang w:eastAsia="cs-CZ"/>
    </w:rPr>
  </w:style>
  <w:style w:type="paragraph" w:styleId="Nzov">
    <w:name w:val="Title"/>
    <w:basedOn w:val="Normlny"/>
    <w:link w:val="NzovChar"/>
    <w:qFormat/>
    <w:rsid w:val="009810D7"/>
    <w:pPr>
      <w:pBdr>
        <w:bottom w:val="single" w:sz="4" w:space="1" w:color="auto"/>
      </w:pBdr>
      <w:jc w:val="center"/>
    </w:pPr>
    <w:rPr>
      <w:rFonts w:ascii="Times New Roman" w:hAnsi="Times New Roman" w:cs="Times New Roman"/>
      <w:bCs w:val="0"/>
      <w:sz w:val="40"/>
    </w:rPr>
  </w:style>
  <w:style w:type="character" w:customStyle="1" w:styleId="NzovChar">
    <w:name w:val="Názov Char"/>
    <w:basedOn w:val="Predvolenpsmoodseku"/>
    <w:link w:val="Nzov"/>
    <w:rsid w:val="009810D7"/>
    <w:rPr>
      <w:rFonts w:ascii="Times New Roman" w:eastAsia="Times New Roman" w:hAnsi="Times New Roman" w:cs="Times New Roman"/>
      <w:sz w:val="40"/>
      <w:szCs w:val="24"/>
      <w:lang w:eastAsia="cs-CZ"/>
    </w:rPr>
  </w:style>
  <w:style w:type="paragraph" w:customStyle="1" w:styleId="Obsahtabulky">
    <w:name w:val="Obsah tabulky"/>
    <w:basedOn w:val="Normlny"/>
    <w:rsid w:val="009810D7"/>
    <w:pPr>
      <w:widowControl w:val="0"/>
      <w:suppressLineNumbers/>
      <w:suppressAutoHyphens/>
    </w:pPr>
    <w:rPr>
      <w:rFonts w:ascii="Times New Roman" w:eastAsia="Lucida Sans Unicode" w:hAnsi="Times New Roman" w:cs="Tahoma"/>
      <w:bCs w:val="0"/>
      <w:noProof/>
      <w:lang w:eastAsia="ar-SA"/>
    </w:rPr>
  </w:style>
  <w:style w:type="paragraph" w:customStyle="1" w:styleId="Char">
    <w:name w:val="Char"/>
    <w:basedOn w:val="Normlny"/>
    <w:rsid w:val="009810D7"/>
    <w:pPr>
      <w:spacing w:after="160" w:line="240" w:lineRule="exact"/>
    </w:pPr>
    <w:rPr>
      <w:rFonts w:ascii="Tahoma" w:hAnsi="Tahoma" w:cs="Tahoma"/>
      <w:bCs w:val="0"/>
      <w:sz w:val="20"/>
      <w:szCs w:val="20"/>
      <w:lang w:val="en-US" w:eastAsia="en-US"/>
    </w:rPr>
  </w:style>
  <w:style w:type="paragraph" w:styleId="Normlnywebov">
    <w:name w:val="Normal (Web)"/>
    <w:basedOn w:val="Normlny"/>
    <w:uiPriority w:val="99"/>
    <w:rsid w:val="009810D7"/>
    <w:pPr>
      <w:spacing w:before="100" w:beforeAutospacing="1" w:after="100" w:afterAutospacing="1"/>
    </w:pPr>
    <w:rPr>
      <w:rFonts w:ascii="Verdana" w:hAnsi="Verdana" w:cs="Times New Roman"/>
      <w:bCs w:val="0"/>
      <w:sz w:val="18"/>
      <w:szCs w:val="18"/>
      <w:lang w:eastAsia="sk-SK"/>
    </w:rPr>
  </w:style>
  <w:style w:type="paragraph" w:customStyle="1" w:styleId="titulok">
    <w:name w:val="titulok"/>
    <w:basedOn w:val="Normlny"/>
    <w:rsid w:val="009810D7"/>
    <w:pPr>
      <w:spacing w:before="100" w:beforeAutospacing="1" w:after="100" w:afterAutospacing="1"/>
      <w:jc w:val="center"/>
    </w:pPr>
    <w:rPr>
      <w:b/>
      <w:color w:val="00706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810D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9810D7"/>
    <w:rPr>
      <w:rFonts w:ascii="Arial" w:eastAsia="Times New Roman" w:hAnsi="Arial" w:cs="Times New Roman"/>
      <w:bCs/>
      <w:sz w:val="24"/>
      <w:szCs w:val="24"/>
      <w:lang w:val="x-none" w:eastAsia="cs-CZ"/>
    </w:rPr>
  </w:style>
  <w:style w:type="character" w:styleId="Hypertextovprepojenie">
    <w:name w:val="Hyperlink"/>
    <w:uiPriority w:val="99"/>
    <w:rsid w:val="009810D7"/>
    <w:rPr>
      <w:color w:val="000060"/>
      <w:u w:val="single"/>
    </w:rPr>
  </w:style>
  <w:style w:type="character" w:customStyle="1" w:styleId="CharChar3">
    <w:name w:val="Char Char3"/>
    <w:locked/>
    <w:rsid w:val="009810D7"/>
    <w:rPr>
      <w:rFonts w:cs="Times New Roman"/>
      <w:sz w:val="24"/>
      <w:lang w:val="cs-CZ" w:eastAsia="sk-SK" w:bidi="ar-SA"/>
    </w:rPr>
  </w:style>
  <w:style w:type="character" w:customStyle="1" w:styleId="HeaderChar">
    <w:name w:val="Header Char"/>
    <w:locked/>
    <w:rsid w:val="009810D7"/>
    <w:rPr>
      <w:rFonts w:ascii="Times New Roman" w:hAnsi="Times New Roman" w:cs="Times New Roman"/>
      <w:sz w:val="24"/>
      <w:szCs w:val="24"/>
      <w:lang w:val="x-none" w:eastAsia="sk-SK"/>
    </w:rPr>
  </w:style>
  <w:style w:type="paragraph" w:styleId="Odsekzoznamu">
    <w:name w:val="List Paragraph"/>
    <w:basedOn w:val="Normlny"/>
    <w:uiPriority w:val="34"/>
    <w:qFormat/>
    <w:rsid w:val="00880B54"/>
    <w:pPr>
      <w:ind w:left="720"/>
      <w:contextualSpacing/>
    </w:pPr>
  </w:style>
  <w:style w:type="character" w:styleId="PremennHTML">
    <w:name w:val="HTML Variable"/>
    <w:basedOn w:val="Predvolenpsmoodseku"/>
    <w:uiPriority w:val="99"/>
    <w:semiHidden/>
    <w:unhideWhenUsed/>
    <w:rsid w:val="005D23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f:fields xmlns:f="http://schemas.fabasoft.com/folio/2007/fields">
  <f:record>
    <f:field ref="objname" par="" text="stanovisko_k_návrhu_ZU_2020" edit="true"/>
    <f:field ref="objsubject" par="" text="" edit="true"/>
    <f:field ref="objcreatedby" par="" text="Slezák, Milan, Ing."/>
    <f:field ref="objcreatedat" par="" date="2021-05-25T10:08:56" text="25.5.2021 10:08:56"/>
    <f:field ref="objchangedby" par="" text="Slezák, Milan, Ing."/>
    <f:field ref="objmodifiedat" par="" date="2021-05-25T10:10:36" text="25.5.2021 10:10:36"/>
    <f:field ref="doc_FSCFOLIO_1_1001_FieldDocumentNumber" par="" text=""/>
    <f:field ref="doc_FSCFOLIO_1_1001_FieldSubject" par="" text="" edit="true"/>
    <f:field ref="FSCFOLIO_1_1001_FieldCurrentUser" par="" text="Ing. Milan Slezák"/>
    <f:field ref="CCAPRECONFIG_15_1001_Objektname" par="" text="stanovisko_k_návrhu_ZU_2020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5FEC9D18D8D249A7928735BB81A790" ma:contentTypeVersion="11" ma:contentTypeDescription="Umožňuje vytvoriť nový dokument." ma:contentTypeScope="" ma:versionID="df27d3e9846a1e42e87ebeb55ab37a3c">
  <xsd:schema xmlns:xsd="http://www.w3.org/2001/XMLSchema" xmlns:xs="http://www.w3.org/2001/XMLSchema" xmlns:p="http://schemas.microsoft.com/office/2006/metadata/properties" xmlns:ns2="0014d50b-6f30-4926-8a1c-6def29c85054" xmlns:ns3="d2b3a78c-f50d-4d33-bb34-bf1e0d9854f1" targetNamespace="http://schemas.microsoft.com/office/2006/metadata/properties" ma:root="true" ma:fieldsID="8d1a490a88f3225267e6cf9a8f4d5b18" ns2:_="" ns3:_="">
    <xsd:import namespace="0014d50b-6f30-4926-8a1c-6def29c85054"/>
    <xsd:import namespace="d2b3a78c-f50d-4d33-bb34-bf1e0d9854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d50b-6f30-4926-8a1c-6def29c8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3a78c-f50d-4d33-bb34-bf1e0d9854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014d50b-6f30-4926-8a1c-6def29c85054">XMSUKZJ42ZE7-844373114-10285</_dlc_DocId>
    <_dlc_DocIdUrl xmlns="0014d50b-6f30-4926-8a1c-6def29c85054">
      <Url>https://vucba.sharepoint.com/sites/Dokumenty/KP/oorg/_layouts/15/DocIdRedir.aspx?ID=XMSUKZJ42ZE7-844373114-10285</Url>
      <Description>XMSUKZJ42ZE7-844373114-10285</Description>
    </_dlc_DocIdUrl>
  </documentManagement>
</p:propertie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A6886D08-DAF0-4EB6-9004-AEA28F754A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F0E417-1E8E-4C6C-BB41-D23E6C89438C}"/>
</file>

<file path=customXml/itemProps4.xml><?xml version="1.0" encoding="utf-8"?>
<ds:datastoreItem xmlns:ds="http://schemas.openxmlformats.org/officeDocument/2006/customXml" ds:itemID="{AF4183E8-DCCC-4AE3-B902-07513DF5A6D0}"/>
</file>

<file path=customXml/itemProps5.xml><?xml version="1.0" encoding="utf-8"?>
<ds:datastoreItem xmlns:ds="http://schemas.openxmlformats.org/officeDocument/2006/customXml" ds:itemID="{FFF1A3FF-EFC6-4395-A3C7-1D4D2341276F}"/>
</file>

<file path=customXml/itemProps6.xml><?xml version="1.0" encoding="utf-8"?>
<ds:datastoreItem xmlns:ds="http://schemas.openxmlformats.org/officeDocument/2006/customXml" ds:itemID="{CA6741D5-C879-4F32-920F-C4257F8CA3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4775</Words>
  <Characters>27221</Characters>
  <Application>Microsoft Office Word</Application>
  <DocSecurity>0</DocSecurity>
  <Lines>226</Lines>
  <Paragraphs>63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Mrázik</dc:creator>
  <cp:lastModifiedBy>Milan Slezák</cp:lastModifiedBy>
  <cp:revision>2</cp:revision>
  <cp:lastPrinted>2021-05-27T13:04:00Z</cp:lastPrinted>
  <dcterms:created xsi:type="dcterms:W3CDTF">2021-05-27T13:05:00Z</dcterms:created>
  <dcterms:modified xsi:type="dcterms:W3CDTF">2021-05-27T13:05:00Z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Milan Slezák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25. 5. 2021, 10:08</vt:lpwstr>
  </property>
  <property fmtid="{D5CDD505-2E9C-101B-9397-08002B2CF9AE}" pid="55" name="FSC#SKEDITIONREG@103.510:curruserrolegroup">
    <vt:lpwstr>Útvar hlavného kontrolóra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Bratislava 25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/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Bratislavský samosprávny kraj</vt:lpwstr>
  </property>
  <property fmtid="{D5CDD505-2E9C-101B-9397-08002B2CF9AE}" pid="65" name="FSC#SKEDITIONREG@103.510:sk_org_ico">
    <vt:lpwstr>36063606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Sabinovská 16</vt:lpwstr>
  </property>
  <property fmtid="{D5CDD505-2E9C-101B-9397-08002B2CF9AE}" pid="70" name="FSC#SKEDITIONREG@103.510:sk_org_zip">
    <vt:lpwstr>820 05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25. 5. 2021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25.5.2021, 10:08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SKNADBA@103.510:nad_AttrDateDatumVydania">
    <vt:lpwstr/>
  </property>
  <property fmtid="{D5CDD505-2E9C-101B-9397-08002B2CF9AE}" pid="322" name="FSC#SKNADBA@103.510:nad_predkladariadsek">
    <vt:lpwstr/>
  </property>
  <property fmtid="{D5CDD505-2E9C-101B-9397-08002B2CF9AE}" pid="323" name="FSC#SKNADBA@103.510:nad_predkladariadsekPOS">
    <vt:lpwstr/>
  </property>
  <property fmtid="{D5CDD505-2E9C-101B-9397-08002B2CF9AE}" pid="324" name="FSC#SKNADBA@103.510:nad_predkladariadsekOU">
    <vt:lpwstr/>
  </property>
  <property fmtid="{D5CDD505-2E9C-101B-9397-08002B2CF9AE}" pid="325" name="FSC#COOELAK@1.1001:Subject">
    <vt:lpwstr>Stanovisko k návrhu Záverečného účtu BSK za rok 2020</vt:lpwstr>
  </property>
  <property fmtid="{D5CDD505-2E9C-101B-9397-08002B2CF9AE}" pid="326" name="FSC#COOELAK@1.1001:FileReference">
    <vt:lpwstr>6522-2021</vt:lpwstr>
  </property>
  <property fmtid="{D5CDD505-2E9C-101B-9397-08002B2CF9AE}" pid="327" name="FSC#COOELAK@1.1001:FileRefYear">
    <vt:lpwstr>2021</vt:lpwstr>
  </property>
  <property fmtid="{D5CDD505-2E9C-101B-9397-08002B2CF9AE}" pid="328" name="FSC#COOELAK@1.1001:FileRefOrdinal">
    <vt:lpwstr>6522</vt:lpwstr>
  </property>
  <property fmtid="{D5CDD505-2E9C-101B-9397-08002B2CF9AE}" pid="329" name="FSC#COOELAK@1.1001:FileRefOU">
    <vt:lpwstr>UHK</vt:lpwstr>
  </property>
  <property fmtid="{D5CDD505-2E9C-101B-9397-08002B2CF9AE}" pid="330" name="FSC#COOELAK@1.1001:Organization">
    <vt:lpwstr/>
  </property>
  <property fmtid="{D5CDD505-2E9C-101B-9397-08002B2CF9AE}" pid="331" name="FSC#COOELAK@1.1001:Owner">
    <vt:lpwstr>Slezák, Milan, Ing.</vt:lpwstr>
  </property>
  <property fmtid="{D5CDD505-2E9C-101B-9397-08002B2CF9AE}" pid="332" name="FSC#COOELAK@1.1001:OwnerExtension">
    <vt:lpwstr/>
  </property>
  <property fmtid="{D5CDD505-2E9C-101B-9397-08002B2CF9AE}" pid="333" name="FSC#COOELAK@1.1001:OwnerFaxExtension">
    <vt:lpwstr/>
  </property>
  <property fmtid="{D5CDD505-2E9C-101B-9397-08002B2CF9AE}" pid="334" name="FSC#COOELAK@1.1001:DispatchedBy">
    <vt:lpwstr/>
  </property>
  <property fmtid="{D5CDD505-2E9C-101B-9397-08002B2CF9AE}" pid="335" name="FSC#COOELAK@1.1001:DispatchedAt">
    <vt:lpwstr/>
  </property>
  <property fmtid="{D5CDD505-2E9C-101B-9397-08002B2CF9AE}" pid="336" name="FSC#COOELAK@1.1001:ApprovedBy">
    <vt:lpwstr/>
  </property>
  <property fmtid="{D5CDD505-2E9C-101B-9397-08002B2CF9AE}" pid="337" name="FSC#COOELAK@1.1001:ApprovedAt">
    <vt:lpwstr/>
  </property>
  <property fmtid="{D5CDD505-2E9C-101B-9397-08002B2CF9AE}" pid="338" name="FSC#COOELAK@1.1001:Department">
    <vt:lpwstr>UHK (Útvar hlavného kontrolóra)</vt:lpwstr>
  </property>
  <property fmtid="{D5CDD505-2E9C-101B-9397-08002B2CF9AE}" pid="339" name="FSC#COOELAK@1.1001:CreatedAt">
    <vt:lpwstr>25.05.2021</vt:lpwstr>
  </property>
  <property fmtid="{D5CDD505-2E9C-101B-9397-08002B2CF9AE}" pid="340" name="FSC#COOELAK@1.1001:OU">
    <vt:lpwstr>UHK (Útvar hlavného kontrolóra)</vt:lpwstr>
  </property>
  <property fmtid="{D5CDD505-2E9C-101B-9397-08002B2CF9AE}" pid="341" name="FSC#COOELAK@1.1001:Priority">
    <vt:lpwstr> ()</vt:lpwstr>
  </property>
  <property fmtid="{D5CDD505-2E9C-101B-9397-08002B2CF9AE}" pid="342" name="FSC#COOELAK@1.1001:ObjBarCode">
    <vt:lpwstr>*COO.2274.100.2.4832685*</vt:lpwstr>
  </property>
  <property fmtid="{D5CDD505-2E9C-101B-9397-08002B2CF9AE}" pid="343" name="FSC#COOELAK@1.1001:RefBarCode">
    <vt:lpwstr>*COO.2274.100.2.4832580*</vt:lpwstr>
  </property>
  <property fmtid="{D5CDD505-2E9C-101B-9397-08002B2CF9AE}" pid="344" name="FSC#COOELAK@1.1001:FileRefBarCode">
    <vt:lpwstr>*6522-2021*</vt:lpwstr>
  </property>
  <property fmtid="{D5CDD505-2E9C-101B-9397-08002B2CF9AE}" pid="345" name="FSC#COOELAK@1.1001:ExternalRef">
    <vt:lpwstr/>
  </property>
  <property fmtid="{D5CDD505-2E9C-101B-9397-08002B2CF9AE}" pid="346" name="FSC#COOELAK@1.1001:IncomingNumber">
    <vt:lpwstr/>
  </property>
  <property fmtid="{D5CDD505-2E9C-101B-9397-08002B2CF9AE}" pid="347" name="FSC#COOELAK@1.1001:IncomingSubject">
    <vt:lpwstr/>
  </property>
  <property fmtid="{D5CDD505-2E9C-101B-9397-08002B2CF9AE}" pid="348" name="FSC#COOELAK@1.1001:ProcessResponsible">
    <vt:lpwstr/>
  </property>
  <property fmtid="{D5CDD505-2E9C-101B-9397-08002B2CF9AE}" pid="349" name="FSC#COOELAK@1.1001:ProcessResponsiblePhone">
    <vt:lpwstr/>
  </property>
  <property fmtid="{D5CDD505-2E9C-101B-9397-08002B2CF9AE}" pid="350" name="FSC#COOELAK@1.1001:ProcessResponsibleMail">
    <vt:lpwstr/>
  </property>
  <property fmtid="{D5CDD505-2E9C-101B-9397-08002B2CF9AE}" pid="351" name="FSC#COOELAK@1.1001:ProcessResponsibleFax">
    <vt:lpwstr/>
  </property>
  <property fmtid="{D5CDD505-2E9C-101B-9397-08002B2CF9AE}" pid="352" name="FSC#COOELAK@1.1001:ApproverFirstName">
    <vt:lpwstr/>
  </property>
  <property fmtid="{D5CDD505-2E9C-101B-9397-08002B2CF9AE}" pid="353" name="FSC#COOELAK@1.1001:ApproverSurName">
    <vt:lpwstr/>
  </property>
  <property fmtid="{D5CDD505-2E9C-101B-9397-08002B2CF9AE}" pid="354" name="FSC#COOELAK@1.1001:ApproverTitle">
    <vt:lpwstr/>
  </property>
  <property fmtid="{D5CDD505-2E9C-101B-9397-08002B2CF9AE}" pid="355" name="FSC#COOELAK@1.1001:ExternalDate">
    <vt:lpwstr/>
  </property>
  <property fmtid="{D5CDD505-2E9C-101B-9397-08002B2CF9AE}" pid="356" name="FSC#COOELAK@1.1001:SettlementApprovedAt">
    <vt:lpwstr/>
  </property>
  <property fmtid="{D5CDD505-2E9C-101B-9397-08002B2CF9AE}" pid="357" name="FSC#COOELAK@1.1001:BaseNumber">
    <vt:lpwstr>TD2</vt:lpwstr>
  </property>
  <property fmtid="{D5CDD505-2E9C-101B-9397-08002B2CF9AE}" pid="358" name="FSC#COOELAK@1.1001:CurrentUserRolePos">
    <vt:lpwstr>vedúci</vt:lpwstr>
  </property>
  <property fmtid="{D5CDD505-2E9C-101B-9397-08002B2CF9AE}" pid="359" name="FSC#COOELAK@1.1001:CurrentUserEmail">
    <vt:lpwstr>milan.slezak@region-bsk.sk</vt:lpwstr>
  </property>
  <property fmtid="{D5CDD505-2E9C-101B-9397-08002B2CF9AE}" pid="360" name="FSC#ELAKGOV@1.1001:PersonalSubjGender">
    <vt:lpwstr/>
  </property>
  <property fmtid="{D5CDD505-2E9C-101B-9397-08002B2CF9AE}" pid="361" name="FSC#ELAKGOV@1.1001:PersonalSubjFirstName">
    <vt:lpwstr/>
  </property>
  <property fmtid="{D5CDD505-2E9C-101B-9397-08002B2CF9AE}" pid="362" name="FSC#ELAKGOV@1.1001:PersonalSubjSurName">
    <vt:lpwstr/>
  </property>
  <property fmtid="{D5CDD505-2E9C-101B-9397-08002B2CF9AE}" pid="363" name="FSC#ELAKGOV@1.1001:PersonalSubjSalutation">
    <vt:lpwstr/>
  </property>
  <property fmtid="{D5CDD505-2E9C-101B-9397-08002B2CF9AE}" pid="364" name="FSC#ELAKGOV@1.1001:PersonalSubjAddress">
    <vt:lpwstr/>
  </property>
  <property fmtid="{D5CDD505-2E9C-101B-9397-08002B2CF9AE}" pid="365" name="FSC#ATSTATECFG@1.1001:Office">
    <vt:lpwstr/>
  </property>
  <property fmtid="{D5CDD505-2E9C-101B-9397-08002B2CF9AE}" pid="366" name="FSC#ATSTATECFG@1.1001:Agent">
    <vt:lpwstr>Ing. Milan Slezák</vt:lpwstr>
  </property>
  <property fmtid="{D5CDD505-2E9C-101B-9397-08002B2CF9AE}" pid="367" name="FSC#ATSTATECFG@1.1001:AgentPhone">
    <vt:lpwstr/>
  </property>
  <property fmtid="{D5CDD505-2E9C-101B-9397-08002B2CF9AE}" pid="368" name="FSC#ATSTATECFG@1.1001:DepartmentFax">
    <vt:lpwstr/>
  </property>
  <property fmtid="{D5CDD505-2E9C-101B-9397-08002B2CF9AE}" pid="369" name="FSC#ATSTATECFG@1.1001:DepartmentEmail">
    <vt:lpwstr/>
  </property>
  <property fmtid="{D5CDD505-2E9C-101B-9397-08002B2CF9AE}" pid="370" name="FSC#ATSTATECFG@1.1001:SubfileDate">
    <vt:lpwstr>25.05.2021</vt:lpwstr>
  </property>
  <property fmtid="{D5CDD505-2E9C-101B-9397-08002B2CF9AE}" pid="371" name="FSC#ATSTATECFG@1.1001:SubfileSubject">
    <vt:lpwstr>Stanovisko k návrhu Záverečného účtu BSK za rok 2020</vt:lpwstr>
  </property>
  <property fmtid="{D5CDD505-2E9C-101B-9397-08002B2CF9AE}" pid="372" name="FSC#ATSTATECFG@1.1001:DepartmentZipCode">
    <vt:lpwstr/>
  </property>
  <property fmtid="{D5CDD505-2E9C-101B-9397-08002B2CF9AE}" pid="373" name="FSC#ATSTATECFG@1.1001:DepartmentCountry">
    <vt:lpwstr/>
  </property>
  <property fmtid="{D5CDD505-2E9C-101B-9397-08002B2CF9AE}" pid="374" name="FSC#ATSTATECFG@1.1001:DepartmentCity">
    <vt:lpwstr/>
  </property>
  <property fmtid="{D5CDD505-2E9C-101B-9397-08002B2CF9AE}" pid="375" name="FSC#ATSTATECFG@1.1001:DepartmentStreet">
    <vt:lpwstr/>
  </property>
  <property fmtid="{D5CDD505-2E9C-101B-9397-08002B2CF9AE}" pid="376" name="FSC#ATSTATECFG@1.1001:DepartmentDVR">
    <vt:lpwstr/>
  </property>
  <property fmtid="{D5CDD505-2E9C-101B-9397-08002B2CF9AE}" pid="377" name="FSC#ATSTATECFG@1.1001:DepartmentUID">
    <vt:lpwstr/>
  </property>
  <property fmtid="{D5CDD505-2E9C-101B-9397-08002B2CF9AE}" pid="378" name="FSC#ATSTATECFG@1.1001:SubfileReference">
    <vt:lpwstr>-2021-1</vt:lpwstr>
  </property>
  <property fmtid="{D5CDD505-2E9C-101B-9397-08002B2CF9AE}" pid="379" name="FSC#ATSTATECFG@1.1001:Clause">
    <vt:lpwstr/>
  </property>
  <property fmtid="{D5CDD505-2E9C-101B-9397-08002B2CF9AE}" pid="380" name="FSC#ATSTATECFG@1.1001:ApprovedSignature">
    <vt:lpwstr/>
  </property>
  <property fmtid="{D5CDD505-2E9C-101B-9397-08002B2CF9AE}" pid="381" name="FSC#ATSTATECFG@1.1001:BankAccount">
    <vt:lpwstr/>
  </property>
  <property fmtid="{D5CDD505-2E9C-101B-9397-08002B2CF9AE}" pid="382" name="FSC#ATSTATECFG@1.1001:BankAccountOwner">
    <vt:lpwstr/>
  </property>
  <property fmtid="{D5CDD505-2E9C-101B-9397-08002B2CF9AE}" pid="383" name="FSC#ATSTATECFG@1.1001:BankInstitute">
    <vt:lpwstr/>
  </property>
  <property fmtid="{D5CDD505-2E9C-101B-9397-08002B2CF9AE}" pid="384" name="FSC#ATSTATECFG@1.1001:BankAccountID">
    <vt:lpwstr/>
  </property>
  <property fmtid="{D5CDD505-2E9C-101B-9397-08002B2CF9AE}" pid="385" name="FSC#ATSTATECFG@1.1001:BankAccountIBAN">
    <vt:lpwstr/>
  </property>
  <property fmtid="{D5CDD505-2E9C-101B-9397-08002B2CF9AE}" pid="386" name="FSC#ATSTATECFG@1.1001:BankAccountBIC">
    <vt:lpwstr/>
  </property>
  <property fmtid="{D5CDD505-2E9C-101B-9397-08002B2CF9AE}" pid="387" name="FSC#ATSTATECFG@1.1001:BankName">
    <vt:lpwstr/>
  </property>
  <property fmtid="{D5CDD505-2E9C-101B-9397-08002B2CF9AE}" pid="388" name="FSC#COOELAK@1.1001:ObjectAddressees">
    <vt:lpwstr/>
  </property>
  <property fmtid="{D5CDD505-2E9C-101B-9397-08002B2CF9AE}" pid="389" name="FSC#SKCONV@103.510:docname">
    <vt:lpwstr/>
  </property>
  <property fmtid="{D5CDD505-2E9C-101B-9397-08002B2CF9AE}" pid="390" name="FSC#COOSYSTEM@1.1:Container">
    <vt:lpwstr>COO.2274.100.2.4832685</vt:lpwstr>
  </property>
  <property fmtid="{D5CDD505-2E9C-101B-9397-08002B2CF9AE}" pid="391" name="FSC#FSCFOLIO@1.1001:docpropproject">
    <vt:lpwstr/>
  </property>
  <property fmtid="{D5CDD505-2E9C-101B-9397-08002B2CF9AE}" pid="392" name="_dlc_DocIdItemGuid">
    <vt:lpwstr>dd01b4d0-4c56-4b06-bad7-f6669bda61ce</vt:lpwstr>
  </property>
  <property fmtid="{D5CDD505-2E9C-101B-9397-08002B2CF9AE}" pid="393" name="ContentTypeId">
    <vt:lpwstr>0x010100345FEC9D18D8D249A7928735BB81A790</vt:lpwstr>
  </property>
</Properties>
</file>